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高新技术企业认定</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杨凌示范区企业认定为国家高新技术企业后，享受以下激励政策：</w:t>
      </w:r>
    </w:p>
    <w:p>
      <w:pPr>
        <w:numPr>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1.企业所得税减按15%缴纳。</w:t>
      </w:r>
    </w:p>
    <w:p>
      <w:pPr>
        <w:numPr>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2.省科技厅给予5万元补助。</w:t>
      </w:r>
    </w:p>
    <w:p>
      <w:pPr>
        <w:numPr>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3.根据《杨凌示范区关于支持“三个经济”发展的十条措施（2019-2021 年）》（杨管发〔2019〕3 号），示范区给予首次认定企业10万元奖励，再次认定企业5万元奖励。</w:t>
      </w: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jc w:val="center"/>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科技型中小企业</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杨凌示范区企业取得</w:t>
      </w:r>
      <w:r>
        <w:rPr>
          <w:rFonts w:hint="eastAsia" w:ascii="仿宋_GB2312" w:hAnsi="仿宋_GB2312" w:eastAsia="仿宋_GB2312" w:cs="仿宋_GB2312"/>
          <w:caps w:val="0"/>
          <w:spacing w:val="0"/>
          <w:kern w:val="0"/>
          <w:sz w:val="30"/>
          <w:szCs w:val="30"/>
          <w:lang w:val="en-US" w:eastAsia="zh-CN" w:bidi="ar"/>
        </w:rPr>
        <w:t>科技型中小企业入库编号</w:t>
      </w:r>
      <w:r>
        <w:rPr>
          <w:rFonts w:hint="eastAsia" w:ascii="仿宋_GB2312" w:hAnsi="仿宋_GB2312" w:eastAsia="仿宋_GB2312" w:cs="仿宋_GB2312"/>
          <w:sz w:val="32"/>
          <w:szCs w:val="32"/>
          <w:lang w:val="en-US" w:eastAsia="zh-CN"/>
        </w:rPr>
        <w:t>后，享受以下激励政策：</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科技型中小企业开展研发活动中实际发生的研发费用，未形成无形资产计入当期损益的，在按规定据实扣除的基础上，在2017年1月1日至2019年12月31日期间，再按照实际发生额的75%在税前加计扣除；形成无形资产的，在上述期间按照无形资产成本的175%在税前摊销。</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2.科技型中小企业按上年度研发费用支出额度的5%给予一次性补助，最高补助5万元；对不少于1项发明专利或5项实用新型专利的入库企业纳入高新技术企业重点培育对象的，给予5万元培育补贴。[根据</w:t>
      </w:r>
      <w:r>
        <w:rPr>
          <w:rFonts w:hint="eastAsia" w:ascii="仿宋_GB2312" w:hAnsi="仿宋_GB2312" w:eastAsia="仿宋_GB2312" w:cs="仿宋_GB2312"/>
          <w:sz w:val="32"/>
          <w:szCs w:val="32"/>
          <w:lang w:eastAsia="zh-CN"/>
        </w:rPr>
        <w:t>《杨凌示范区促进科技型企业发展措施》（杨管科发〔201</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8号</w:t>
      </w:r>
      <w:r>
        <w:rPr>
          <w:rFonts w:hint="eastAsia" w:ascii="仿宋_GB2312" w:hAnsi="仿宋_GB2312" w:eastAsia="仿宋_GB2312" w:cs="仿宋_GB2312"/>
          <w:sz w:val="32"/>
          <w:szCs w:val="32"/>
          <w:lang w:eastAsia="zh-CN"/>
        </w:rPr>
        <w:t>）、《杨凌示范区管委会办公室关于加快培育农业科技小巨人企业的实施意见》（杨管办发〔201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〕2号）、</w:t>
      </w:r>
      <w:r>
        <w:rPr>
          <w:rFonts w:hint="eastAsia" w:ascii="仿宋_GB2312" w:hAnsi="仿宋_GB2312" w:eastAsia="仿宋_GB2312" w:cs="仿宋_GB2312"/>
          <w:sz w:val="32"/>
          <w:szCs w:val="32"/>
          <w:lang w:val="en-US" w:eastAsia="zh-CN"/>
        </w:rPr>
        <w:t>《杨凌示范区关于支持“三个经济”发展的十条措施（2019-2021 年）》（杨管发〔2019〕3 号）]。</w:t>
      </w:r>
    </w:p>
    <w:p>
      <w:pPr>
        <w:jc w:val="center"/>
        <w:rPr>
          <w:rFonts w:hint="eastAsia" w:ascii="方正小标宋简体" w:hAnsi="方正小标宋简体" w:eastAsia="方正小标宋简体" w:cs="方正小标宋简体"/>
          <w:sz w:val="32"/>
          <w:szCs w:val="32"/>
          <w:lang w:val="en-US" w:eastAsia="zh-CN"/>
        </w:rPr>
      </w:pPr>
    </w:p>
    <w:p>
      <w:pPr>
        <w:jc w:val="center"/>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lang w:val="en-US" w:eastAsia="zh-CN"/>
        </w:rPr>
        <w:t>技术先进型服务企业</w:t>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杨凌示范区企业认定为技术先进型服务企业后，享受以下激励政策：</w:t>
      </w:r>
    </w:p>
    <w:p>
      <w:pPr>
        <w:pStyle w:val="2"/>
        <w:widowControl/>
        <w:spacing w:beforeAutospacing="0" w:afterAutospacing="0" w:line="360" w:lineRule="auto"/>
        <w:ind w:firstLine="600" w:firstLineChars="200"/>
        <w:rPr>
          <w:rFonts w:hint="eastAsia" w:ascii="仿宋_GB2312" w:hAnsi="仿宋_GB2312" w:eastAsia="仿宋_GB2312" w:cs="仿宋_GB2312"/>
          <w:caps w:val="0"/>
          <w:spacing w:val="0"/>
          <w:kern w:val="0"/>
          <w:sz w:val="30"/>
          <w:szCs w:val="30"/>
          <w:lang w:val="en-US" w:eastAsia="zh-CN" w:bidi="ar"/>
        </w:rPr>
      </w:pPr>
      <w:r>
        <w:rPr>
          <w:rFonts w:hint="eastAsia" w:ascii="仿宋_GB2312" w:hAnsi="仿宋_GB2312" w:eastAsia="仿宋_GB2312" w:cs="仿宋_GB2312"/>
          <w:caps w:val="0"/>
          <w:spacing w:val="0"/>
          <w:kern w:val="0"/>
          <w:sz w:val="30"/>
          <w:szCs w:val="30"/>
          <w:lang w:val="en-US" w:eastAsia="zh-CN" w:bidi="ar"/>
        </w:rPr>
        <w:t>1.对经认定的技术先进型服务企业，减按15%的税率征收企业所得税。</w:t>
      </w:r>
    </w:p>
    <w:p>
      <w:pPr>
        <w:pStyle w:val="2"/>
        <w:widowControl/>
        <w:spacing w:beforeAutospacing="0" w:afterAutospacing="0" w:line="360" w:lineRule="auto"/>
        <w:ind w:firstLine="600" w:firstLineChars="200"/>
        <w:rPr>
          <w:rFonts w:hint="eastAsia" w:ascii="仿宋_GB2312" w:hAnsi="仿宋_GB2312" w:eastAsia="仿宋_GB2312" w:cs="仿宋_GB2312"/>
          <w:caps w:val="0"/>
          <w:spacing w:val="0"/>
          <w:kern w:val="0"/>
          <w:sz w:val="30"/>
          <w:szCs w:val="30"/>
          <w:lang w:val="en-US" w:eastAsia="zh-CN" w:bidi="ar"/>
        </w:rPr>
      </w:pPr>
      <w:r>
        <w:rPr>
          <w:rFonts w:hint="eastAsia" w:ascii="仿宋_GB2312" w:hAnsi="仿宋_GB2312" w:eastAsia="仿宋_GB2312" w:cs="仿宋_GB2312"/>
          <w:caps w:val="0"/>
          <w:spacing w:val="0"/>
          <w:kern w:val="0"/>
          <w:sz w:val="30"/>
          <w:szCs w:val="30"/>
          <w:lang w:val="en-US" w:eastAsia="zh-CN" w:bidi="ar"/>
        </w:rPr>
        <w:t>2.经认定的技术先进型服务企业发生的职工教育经费支出，不超过工资薪金总额8%的部分，准予在计算应纳税所得额时扣除；超过部分，准予在以后纳税年度结转扣除。</w:t>
      </w:r>
      <w:bookmarkStart w:id="0" w:name="_GoBack"/>
      <w:bookmarkEnd w:id="0"/>
    </w:p>
    <w:p>
      <w:pPr>
        <w:jc w:val="center"/>
        <w:rPr>
          <w:rFonts w:hint="eastAsia" w:ascii="方正小标宋简体" w:hAnsi="方正小标宋简体" w:eastAsia="方正小标宋简体" w:cs="方正小标宋简体"/>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C2D7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2019-09-06T08:38:36Z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