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ind w:right="-334" w:rightChars="-159"/>
        <w:rPr>
          <w:rFonts w:hint="eastAsia" w:ascii="黑体" w:hAnsi="宋体" w:eastAsia="黑体" w:cs="宋体"/>
          <w:color w:val="000000"/>
          <w:sz w:val="32"/>
          <w:szCs w:val="32"/>
        </w:rPr>
      </w:pPr>
      <w:r>
        <w:rPr>
          <w:rFonts w:hint="eastAsia" w:ascii="黑体" w:hAnsi="宋体" w:eastAsia="黑体" w:cs="宋体"/>
          <w:color w:val="000000"/>
          <w:sz w:val="32"/>
          <w:szCs w:val="32"/>
        </w:rPr>
        <w:t>附件1</w:t>
      </w:r>
    </w:p>
    <w:p>
      <w:pPr>
        <w:snapToGrid w:val="0"/>
        <w:spacing w:before="240" w:line="660" w:lineRule="exact"/>
        <w:jc w:val="center"/>
        <w:rPr>
          <w:rFonts w:hint="eastAsia" w:ascii="方正小标宋_GBK" w:hAnsi="方正小标宋_GBK" w:eastAsia="方正小标宋_GBK" w:cs="方正小标宋_GBK"/>
          <w:bCs/>
          <w:color w:val="000000"/>
          <w:kern w:val="0"/>
          <w:sz w:val="44"/>
          <w:szCs w:val="44"/>
        </w:rPr>
      </w:pPr>
      <w:r>
        <w:rPr>
          <w:rFonts w:hint="eastAsia" w:ascii="方正小标宋_GBK" w:hAnsi="方正小标宋_GBK" w:eastAsia="方正小标宋_GBK" w:cs="方正小标宋_GBK"/>
          <w:bCs/>
          <w:color w:val="000000"/>
          <w:kern w:val="0"/>
          <w:sz w:val="44"/>
          <w:szCs w:val="44"/>
        </w:rPr>
        <w:t>知识产权优势企业评价指标体系</w:t>
      </w:r>
    </w:p>
    <w:p>
      <w:pPr>
        <w:snapToGrid w:val="0"/>
        <w:spacing w:before="240" w:line="560" w:lineRule="exact"/>
        <w:jc w:val="center"/>
        <w:rPr>
          <w:rFonts w:hint="eastAsia" w:ascii="楷体_GB2312" w:hAnsi="宋体" w:eastAsia="楷体_GB2312" w:cs="宋体"/>
          <w:b/>
          <w:bCs/>
          <w:color w:val="000000"/>
          <w:kern w:val="0"/>
          <w:sz w:val="32"/>
          <w:szCs w:val="32"/>
        </w:rPr>
      </w:pPr>
      <w:r>
        <w:rPr>
          <w:rFonts w:hint="eastAsia" w:ascii="楷体_GB2312" w:hAnsi="宋体" w:eastAsia="楷体_GB2312" w:cs="宋体"/>
          <w:b/>
          <w:bCs/>
          <w:color w:val="000000"/>
          <w:kern w:val="0"/>
          <w:sz w:val="32"/>
          <w:szCs w:val="32"/>
        </w:rPr>
        <w:t>（试  行）</w:t>
      </w:r>
    </w:p>
    <w:p>
      <w:pPr>
        <w:snapToGrid w:val="0"/>
        <w:spacing w:line="560" w:lineRule="exact"/>
        <w:jc w:val="center"/>
        <w:rPr>
          <w:rFonts w:hint="eastAsia" w:ascii="仿宋_GB2312" w:hAnsi="宋体" w:eastAsia="仿宋_GB2312" w:cs="宋体"/>
          <w:bCs/>
          <w:color w:val="000000"/>
          <w:kern w:val="0"/>
          <w:sz w:val="32"/>
          <w:szCs w:val="32"/>
        </w:rPr>
      </w:pPr>
    </w:p>
    <w:tbl>
      <w:tblPr>
        <w:tblStyle w:val="3"/>
        <w:tblW w:w="9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1"/>
        <w:gridCol w:w="1440"/>
        <w:gridCol w:w="5220"/>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tblHeader/>
          <w:jc w:val="center"/>
        </w:trPr>
        <w:tc>
          <w:tcPr>
            <w:tcW w:w="1811" w:type="dxa"/>
            <w:tcBorders>
              <w:bottom w:val="single" w:color="auto" w:sz="4" w:space="0"/>
            </w:tcBorders>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一级指标及权重</w:t>
            </w:r>
          </w:p>
        </w:tc>
        <w:tc>
          <w:tcPr>
            <w:tcW w:w="1440" w:type="dxa"/>
            <w:tcBorders>
              <w:bottom w:val="single" w:color="auto" w:sz="4" w:space="0"/>
            </w:tcBorders>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二级指标</w:t>
            </w:r>
          </w:p>
        </w:tc>
        <w:tc>
          <w:tcPr>
            <w:tcW w:w="5220" w:type="dxa"/>
            <w:tcBorders>
              <w:bottom w:val="single" w:color="auto" w:sz="4" w:space="0"/>
            </w:tcBorders>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考察要点</w:t>
            </w:r>
          </w:p>
        </w:tc>
        <w:tc>
          <w:tcPr>
            <w:tcW w:w="763" w:type="dxa"/>
            <w:tcBorders>
              <w:bottom w:val="single" w:color="auto" w:sz="4" w:space="0"/>
            </w:tcBorders>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1811" w:type="dxa"/>
            <w:vMerge w:val="restart"/>
            <w:tcBorders>
              <w:top w:val="single" w:color="auto" w:sz="4" w:space="0"/>
            </w:tcBorders>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知识产权创造</w:t>
            </w:r>
          </w:p>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（35分）</w:t>
            </w:r>
          </w:p>
        </w:tc>
        <w:tc>
          <w:tcPr>
            <w:tcW w:w="1440" w:type="dxa"/>
            <w:tcBorders>
              <w:top w:val="single" w:color="auto" w:sz="4" w:space="0"/>
            </w:tcBorders>
            <w:vAlign w:val="center"/>
          </w:tcPr>
          <w:p>
            <w:pPr>
              <w:jc w:val="left"/>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1.产出导向</w:t>
            </w:r>
          </w:p>
        </w:tc>
        <w:tc>
          <w:tcPr>
            <w:tcW w:w="5220" w:type="dxa"/>
            <w:tcBorders>
              <w:top w:val="single" w:color="auto" w:sz="4" w:space="0"/>
            </w:tcBorders>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1.综合运用知识产权信息，引导研发创新，优化知识产权产出导向。</w:t>
            </w:r>
          </w:p>
        </w:tc>
        <w:tc>
          <w:tcPr>
            <w:tcW w:w="763" w:type="dxa"/>
            <w:tcBorders>
              <w:top w:val="single" w:color="auto" w:sz="4" w:space="0"/>
            </w:tcBorders>
            <w:vAlign w:val="center"/>
          </w:tcPr>
          <w:p>
            <w:pPr>
              <w:jc w:val="center"/>
              <w:rPr>
                <w:rFonts w:ascii="仿宋_GB2312" w:hAnsi="宋体" w:eastAsia="仿宋_GB2312" w:cs="宋体"/>
                <w:color w:val="000000"/>
                <w:kern w:val="0"/>
                <w:sz w:val="22"/>
                <w:szCs w:val="22"/>
              </w:rPr>
            </w:pPr>
            <w:r>
              <w:rPr>
                <w:rFonts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1811" w:type="dxa"/>
            <w:vMerge w:val="continue"/>
            <w:vAlign w:val="center"/>
          </w:tcPr>
          <w:p>
            <w:pPr>
              <w:jc w:val="center"/>
              <w:rPr>
                <w:rFonts w:hint="eastAsia" w:ascii="仿宋_GB2312" w:hAnsi="宋体" w:eastAsia="仿宋_GB2312" w:cs="宋体"/>
                <w:b/>
                <w:color w:val="000000"/>
                <w:kern w:val="0"/>
                <w:sz w:val="22"/>
                <w:szCs w:val="22"/>
              </w:rPr>
            </w:pPr>
          </w:p>
        </w:tc>
        <w:tc>
          <w:tcPr>
            <w:tcW w:w="1440" w:type="dxa"/>
            <w:vMerge w:val="restart"/>
            <w:vAlign w:val="center"/>
          </w:tcPr>
          <w:p>
            <w:pPr>
              <w:jc w:val="left"/>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2.产出数量</w:t>
            </w: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2.截止上一年底有效专利拥有量。</w:t>
            </w:r>
          </w:p>
        </w:tc>
        <w:tc>
          <w:tcPr>
            <w:tcW w:w="763" w:type="dxa"/>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1811" w:type="dxa"/>
            <w:vMerge w:val="continue"/>
            <w:vAlign w:val="center"/>
          </w:tcPr>
          <w:p>
            <w:pPr>
              <w:jc w:val="center"/>
              <w:rPr>
                <w:rFonts w:hint="eastAsia"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3.近三年专利申请总量。</w:t>
            </w:r>
          </w:p>
        </w:tc>
        <w:tc>
          <w:tcPr>
            <w:tcW w:w="763" w:type="dxa"/>
            <w:vAlign w:val="center"/>
          </w:tcPr>
          <w:p>
            <w:pPr>
              <w:jc w:val="center"/>
              <w:rPr>
                <w:rFonts w:hint="eastAsia" w:ascii="仿宋_GB2312" w:hAnsi="宋体" w:eastAsia="仿宋_GB2312" w:cs="宋体"/>
                <w:color w:val="000000"/>
                <w:kern w:val="0"/>
                <w:sz w:val="22"/>
                <w:szCs w:val="22"/>
              </w:rPr>
            </w:pPr>
            <w:r>
              <w:rPr>
                <w:rFonts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continue"/>
            <w:vAlign w:val="center"/>
          </w:tcPr>
          <w:p>
            <w:pPr>
              <w:jc w:val="left"/>
              <w:rPr>
                <w:rFonts w:ascii="仿宋_GB2312" w:hAnsi="宋体" w:eastAsia="仿宋_GB2312" w:cs="宋体"/>
                <w:b/>
                <w:color w:val="000000"/>
                <w:kern w:val="0"/>
                <w:sz w:val="22"/>
                <w:szCs w:val="22"/>
              </w:rPr>
            </w:pPr>
          </w:p>
        </w:tc>
        <w:tc>
          <w:tcPr>
            <w:tcW w:w="5220" w:type="dxa"/>
            <w:vAlign w:val="center"/>
          </w:tcPr>
          <w:p>
            <w:pP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4.截止上一年底商标、版权、计算机软件著作权、植物新品种、集成电路布图设计等其他知识产权拥有量。</w:t>
            </w:r>
          </w:p>
        </w:tc>
        <w:tc>
          <w:tcPr>
            <w:tcW w:w="763" w:type="dxa"/>
            <w:vAlign w:val="center"/>
          </w:tcPr>
          <w:p>
            <w:pPr>
              <w:jc w:val="center"/>
              <w:rPr>
                <w:rFonts w:ascii="仿宋_GB2312" w:hAnsi="宋体" w:eastAsia="仿宋_GB2312" w:cs="宋体"/>
                <w:color w:val="000000"/>
                <w:kern w:val="0"/>
                <w:sz w:val="22"/>
                <w:szCs w:val="22"/>
              </w:rPr>
            </w:pPr>
            <w:r>
              <w:rPr>
                <w:rFonts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restart"/>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3.产出质量</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5.近三年专利申请量中发明专利占比。</w:t>
            </w:r>
          </w:p>
        </w:tc>
        <w:tc>
          <w:tcPr>
            <w:tcW w:w="763" w:type="dxa"/>
            <w:vAlign w:val="center"/>
          </w:tcPr>
          <w:p>
            <w:pPr>
              <w:jc w:val="center"/>
              <w:rPr>
                <w:rFonts w:ascii="仿宋_GB2312" w:hAnsi="宋体" w:eastAsia="仿宋_GB2312" w:cs="宋体"/>
                <w:color w:val="000000"/>
                <w:kern w:val="0"/>
                <w:sz w:val="22"/>
                <w:szCs w:val="22"/>
              </w:rPr>
            </w:pPr>
            <w:r>
              <w:rPr>
                <w:rFonts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6.近三年专利授权率。</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continue"/>
            <w:vAlign w:val="center"/>
          </w:tcPr>
          <w:p>
            <w:pPr>
              <w:jc w:val="left"/>
              <w:rPr>
                <w:rFonts w:ascii="仿宋_GB2312" w:hAnsi="宋体" w:eastAsia="仿宋_GB2312" w:cs="宋体"/>
                <w:b/>
                <w:color w:val="000000"/>
                <w:kern w:val="0"/>
                <w:sz w:val="22"/>
                <w:szCs w:val="22"/>
              </w:rPr>
            </w:pP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7.累计向国外申请知识产权数量。</w:t>
            </w:r>
          </w:p>
        </w:tc>
        <w:tc>
          <w:tcPr>
            <w:tcW w:w="763" w:type="dxa"/>
            <w:vAlign w:val="center"/>
          </w:tcPr>
          <w:p>
            <w:pPr>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jc w:val="center"/>
        </w:trPr>
        <w:tc>
          <w:tcPr>
            <w:tcW w:w="1811" w:type="dxa"/>
            <w:vMerge w:val="restart"/>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知识产权运用</w:t>
            </w:r>
          </w:p>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（25分）</w:t>
            </w:r>
          </w:p>
        </w:tc>
        <w:tc>
          <w:tcPr>
            <w:tcW w:w="1440" w:type="dxa"/>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4.自行实施专利</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8.近三年专利产品收入占企业销售收入比重（近三年的专利产品收入占企业销售收入比例之和除以3）。</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restart"/>
            <w:vAlign w:val="center"/>
          </w:tcPr>
          <w:p>
            <w:pPr>
              <w:jc w:val="left"/>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5.其他知识产权收益（取三项考核内容的最高分值）</w:t>
            </w: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9．近三年知识产权许可、转让收益。</w:t>
            </w:r>
          </w:p>
        </w:tc>
        <w:tc>
          <w:tcPr>
            <w:tcW w:w="763" w:type="dxa"/>
            <w:vMerge w:val="restart"/>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continue"/>
            <w:vAlign w:val="center"/>
          </w:tcPr>
          <w:p>
            <w:pPr>
              <w:jc w:val="left"/>
              <w:rPr>
                <w:rFonts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10．近三年知识产权融资额。</w:t>
            </w:r>
          </w:p>
        </w:tc>
        <w:tc>
          <w:tcPr>
            <w:tcW w:w="763" w:type="dxa"/>
            <w:vMerge w:val="continue"/>
            <w:vAlign w:val="center"/>
          </w:tcPr>
          <w:p>
            <w:pPr>
              <w:jc w:val="center"/>
              <w:rPr>
                <w:rFonts w:ascii="仿宋_GB2312" w:hAnsi="宋体" w:eastAsia="仿宋_GB2312"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1811" w:type="dxa"/>
            <w:vMerge w:val="continue"/>
            <w:vAlign w:val="center"/>
          </w:tcPr>
          <w:p>
            <w:pPr>
              <w:jc w:val="center"/>
              <w:rPr>
                <w:rFonts w:ascii="仿宋_GB2312" w:hAnsi="宋体" w:eastAsia="仿宋_GB2312" w:cs="宋体"/>
                <w:b/>
                <w:color w:val="000000"/>
                <w:kern w:val="0"/>
                <w:sz w:val="22"/>
                <w:szCs w:val="22"/>
              </w:rPr>
            </w:pPr>
          </w:p>
        </w:tc>
        <w:tc>
          <w:tcPr>
            <w:tcW w:w="1440" w:type="dxa"/>
            <w:vMerge w:val="continue"/>
            <w:vAlign w:val="center"/>
          </w:tcPr>
          <w:p>
            <w:pPr>
              <w:jc w:val="left"/>
              <w:rPr>
                <w:rFonts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11．知识产权作价作为注册资本额。</w:t>
            </w:r>
          </w:p>
        </w:tc>
        <w:tc>
          <w:tcPr>
            <w:tcW w:w="763" w:type="dxa"/>
            <w:vMerge w:val="continue"/>
            <w:vAlign w:val="center"/>
          </w:tcPr>
          <w:p>
            <w:pPr>
              <w:jc w:val="center"/>
              <w:rPr>
                <w:rFonts w:ascii="仿宋_GB2312" w:hAnsi="宋体" w:eastAsia="仿宋_GB2312"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1811" w:type="dxa"/>
            <w:vMerge w:val="restart"/>
            <w:vAlign w:val="center"/>
          </w:tcPr>
          <w:p>
            <w:pPr>
              <w:jc w:val="center"/>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知识产权管理与保护（40分）</w:t>
            </w:r>
          </w:p>
        </w:tc>
        <w:tc>
          <w:tcPr>
            <w:tcW w:w="1440" w:type="dxa"/>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6.管理体系</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12.通过国家标准《企业知识产权管理规范》GB/T29490-2013认证。</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restart"/>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7.管理制度</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13.制定企业知识产权战略和实施情况。</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continue"/>
            <w:vAlign w:val="center"/>
          </w:tcPr>
          <w:p>
            <w:pPr>
              <w:jc w:val="left"/>
              <w:rPr>
                <w:rFonts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14.建立企业职务发明人权益保护和奖励机制。</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restart"/>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8.管理投入</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15.设立知识产权管理机构，专职人员至少2人。</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16.近三年研发经费投入占企业销售收入比重的平均值（近三年的研发经费投入比例之和除以3）。</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7"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17.近三年知识产权经费投入占研发经费投入比重的年平均值（知识产权经费指用于知识产权战略制定与实施、申请</w:t>
            </w:r>
            <w:r>
              <w:rPr>
                <w:rFonts w:ascii="仿宋_GB2312" w:hAnsi="宋体" w:eastAsia="仿宋_GB2312" w:cs="宋体"/>
                <w:color w:val="000000"/>
                <w:kern w:val="0"/>
                <w:sz w:val="22"/>
                <w:szCs w:val="22"/>
              </w:rPr>
              <w:t>/</w:t>
            </w:r>
            <w:r>
              <w:rPr>
                <w:rFonts w:hint="eastAsia" w:ascii="仿宋_GB2312" w:hAnsi="宋体" w:eastAsia="仿宋_GB2312" w:cs="宋体"/>
                <w:color w:val="000000"/>
                <w:kern w:val="0"/>
                <w:sz w:val="22"/>
                <w:szCs w:val="22"/>
              </w:rPr>
              <w:t>注册、维护、诉讼、检索分析、培训和奖励等方面的经费投入）。</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18.近三年核心人员知识产权培训率（“核心人员”包括企业管理人员、知识产权工作人员和研发人员。培训率为被培训核心人员占核心人员总数的比例）。</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1"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9.预警</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19.建立知识产权预警机制及应对方案。</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811" w:type="dxa"/>
            <w:vMerge w:val="continue"/>
            <w:vAlign w:val="center"/>
          </w:tcPr>
          <w:p>
            <w:pPr>
              <w:jc w:val="left"/>
              <w:rPr>
                <w:rFonts w:ascii="仿宋_GB2312" w:hAnsi="宋体" w:eastAsia="仿宋_GB2312" w:cs="宋体"/>
                <w:b/>
                <w:color w:val="000000"/>
                <w:kern w:val="0"/>
                <w:sz w:val="22"/>
                <w:szCs w:val="22"/>
              </w:rPr>
            </w:pPr>
          </w:p>
        </w:tc>
        <w:tc>
          <w:tcPr>
            <w:tcW w:w="1440" w:type="dxa"/>
            <w:vAlign w:val="center"/>
          </w:tcPr>
          <w:p>
            <w:pPr>
              <w:jc w:val="left"/>
              <w:rPr>
                <w:rFonts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10.纠纷应对</w:t>
            </w:r>
          </w:p>
        </w:tc>
        <w:tc>
          <w:tcPr>
            <w:tcW w:w="5220" w:type="dxa"/>
            <w:vAlign w:val="center"/>
          </w:tcPr>
          <w:p>
            <w:pPr>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20.近三年有效处理国内外知识产权纠纷获得赔偿或避免损失。</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jc w:val="center"/>
        </w:trPr>
        <w:tc>
          <w:tcPr>
            <w:tcW w:w="1811" w:type="dxa"/>
            <w:vMerge w:val="restart"/>
            <w:vAlign w:val="center"/>
          </w:tcPr>
          <w:p>
            <w:pPr>
              <w:jc w:val="center"/>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lang w:eastAsia="zh-CN"/>
              </w:rPr>
              <w:t>奖励及</w:t>
            </w:r>
            <w:r>
              <w:rPr>
                <w:rFonts w:hint="eastAsia" w:ascii="仿宋_GB2312" w:hAnsi="宋体" w:eastAsia="仿宋_GB2312" w:cs="宋体"/>
                <w:b/>
                <w:color w:val="000000"/>
                <w:kern w:val="0"/>
                <w:sz w:val="22"/>
                <w:szCs w:val="22"/>
              </w:rPr>
              <w:t>加分项（50分）</w:t>
            </w:r>
          </w:p>
        </w:tc>
        <w:tc>
          <w:tcPr>
            <w:tcW w:w="1440" w:type="dxa"/>
            <w:vAlign w:val="center"/>
          </w:tcPr>
          <w:p>
            <w:pPr>
              <w:jc w:val="left"/>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11.获得奖励</w:t>
            </w:r>
          </w:p>
        </w:tc>
        <w:tc>
          <w:tcPr>
            <w:tcW w:w="5220" w:type="dxa"/>
            <w:vAlign w:val="center"/>
          </w:tcPr>
          <w:p>
            <w:pP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21.企业获得的国家级和省级知识产权工作奖励。纳入评价范围的包括企业近五年获得的国家级知识产权奖励和近三年获得的省级知识产权奖励。国家级知识产权奖励包括中国专利奖、中国商标金奖、世界知识产权组织版权金奖（中国）和国家技术发明奖；省级知识产权奖励是指省级政府设立的知识产权奖励，不含省级政府下属部门或单位颁发的奖项。</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811" w:type="dxa"/>
            <w:vMerge w:val="continue"/>
            <w:vAlign w:val="center"/>
          </w:tcPr>
          <w:p>
            <w:pPr>
              <w:jc w:val="left"/>
              <w:rPr>
                <w:rFonts w:hint="eastAsia" w:ascii="仿宋_GB2312" w:hAnsi="宋体" w:eastAsia="仿宋_GB2312" w:cs="宋体"/>
                <w:b/>
                <w:color w:val="000000"/>
                <w:kern w:val="0"/>
                <w:sz w:val="22"/>
                <w:szCs w:val="22"/>
              </w:rPr>
            </w:pPr>
          </w:p>
        </w:tc>
        <w:tc>
          <w:tcPr>
            <w:tcW w:w="1440" w:type="dxa"/>
            <w:vMerge w:val="restart"/>
            <w:vAlign w:val="center"/>
          </w:tcPr>
          <w:p>
            <w:pPr>
              <w:jc w:val="left"/>
              <w:rPr>
                <w:rFonts w:hint="eastAsia" w:ascii="仿宋_GB2312" w:hAnsi="宋体" w:eastAsia="仿宋_GB2312" w:cs="宋体"/>
                <w:b/>
                <w:color w:val="000000"/>
                <w:kern w:val="0"/>
                <w:sz w:val="22"/>
                <w:szCs w:val="22"/>
              </w:rPr>
            </w:pPr>
            <w:r>
              <w:rPr>
                <w:rFonts w:hint="eastAsia" w:ascii="仿宋_GB2312" w:hAnsi="宋体" w:eastAsia="仿宋_GB2312" w:cs="宋体"/>
                <w:b/>
                <w:color w:val="000000"/>
                <w:kern w:val="0"/>
                <w:sz w:val="22"/>
                <w:szCs w:val="22"/>
              </w:rPr>
              <w:t>12.特色加分</w:t>
            </w: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仿宋_GB2312" w:eastAsia="仿宋_GB2312" w:cs="仿宋_GB2312"/>
                <w:color w:val="000000"/>
                <w:kern w:val="0"/>
                <w:sz w:val="22"/>
                <w:szCs w:val="22"/>
              </w:rPr>
              <w:t>22.企业近三年获得陕西省专利奖。</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811" w:type="dxa"/>
            <w:vMerge w:val="continue"/>
            <w:vAlign w:val="center"/>
          </w:tcPr>
          <w:p>
            <w:pPr>
              <w:jc w:val="left"/>
              <w:rPr>
                <w:rFonts w:hint="eastAsia"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rPr>
                <w:rFonts w:hint="eastAsia" w:ascii="仿宋_GB2312" w:hAnsi="宋体" w:eastAsia="仿宋_GB2312" w:cs="宋体"/>
                <w:color w:val="000000"/>
                <w:kern w:val="0"/>
                <w:sz w:val="22"/>
                <w:szCs w:val="22"/>
              </w:rPr>
            </w:pPr>
            <w:r>
              <w:rPr>
                <w:rFonts w:hint="eastAsia" w:ascii="仿宋_GB2312" w:hAnsi="仿宋_GB2312" w:eastAsia="仿宋_GB2312" w:cs="仿宋_GB2312"/>
                <w:color w:val="000000"/>
                <w:kern w:val="0"/>
                <w:sz w:val="22"/>
                <w:szCs w:val="22"/>
              </w:rPr>
              <w:t>23.企业获得省级以上部门认定的各类研发（创新）中心。</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811" w:type="dxa"/>
            <w:vMerge w:val="continue"/>
            <w:vAlign w:val="center"/>
          </w:tcPr>
          <w:p>
            <w:pPr>
              <w:jc w:val="left"/>
              <w:rPr>
                <w:rFonts w:hint="eastAsia"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autoSpaceDN w:val="0"/>
              <w:rPr>
                <w:rFonts w:hint="eastAsia" w:ascii="仿宋_GB2312" w:hAnsi="宋体" w:eastAsia="仿宋_GB2312" w:cs="宋体"/>
                <w:color w:val="000000"/>
                <w:kern w:val="0"/>
                <w:sz w:val="22"/>
                <w:szCs w:val="22"/>
              </w:rPr>
            </w:pPr>
            <w:r>
              <w:rPr>
                <w:rFonts w:hint="eastAsia" w:ascii="仿宋_GB2312" w:hAnsi="仿宋_GB2312" w:eastAsia="仿宋_GB2312" w:cs="仿宋_GB2312"/>
                <w:color w:val="000000"/>
                <w:kern w:val="0"/>
                <w:sz w:val="22"/>
                <w:szCs w:val="22"/>
              </w:rPr>
              <w:t>24.</w:t>
            </w:r>
            <w:r>
              <w:rPr>
                <w:rFonts w:hint="eastAsia" w:ascii="仿宋_GB2312" w:hAnsi="仿宋_GB2312" w:eastAsia="仿宋_GB2312" w:cs="仿宋_GB2312"/>
                <w:sz w:val="22"/>
                <w:szCs w:val="22"/>
              </w:rPr>
              <w:t>知识产权纠纷当事人实现和解或者达成合作协议。</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811" w:type="dxa"/>
            <w:vMerge w:val="continue"/>
            <w:vAlign w:val="center"/>
          </w:tcPr>
          <w:p>
            <w:pPr>
              <w:jc w:val="left"/>
              <w:rPr>
                <w:rFonts w:hint="eastAsia" w:ascii="仿宋_GB2312" w:hAnsi="宋体" w:eastAsia="仿宋_GB2312" w:cs="宋体"/>
                <w:b/>
                <w:color w:val="000000"/>
                <w:kern w:val="0"/>
                <w:sz w:val="22"/>
                <w:szCs w:val="22"/>
              </w:rPr>
            </w:pPr>
          </w:p>
        </w:tc>
        <w:tc>
          <w:tcPr>
            <w:tcW w:w="1440" w:type="dxa"/>
            <w:vMerge w:val="continue"/>
            <w:vAlign w:val="center"/>
          </w:tcPr>
          <w:p>
            <w:pPr>
              <w:jc w:val="left"/>
              <w:rPr>
                <w:rFonts w:hint="eastAsia" w:ascii="仿宋_GB2312" w:hAnsi="宋体" w:eastAsia="仿宋_GB2312" w:cs="宋体"/>
                <w:b/>
                <w:color w:val="000000"/>
                <w:kern w:val="0"/>
                <w:sz w:val="22"/>
                <w:szCs w:val="22"/>
              </w:rPr>
            </w:pPr>
          </w:p>
        </w:tc>
        <w:tc>
          <w:tcPr>
            <w:tcW w:w="5220" w:type="dxa"/>
            <w:vAlign w:val="center"/>
          </w:tcPr>
          <w:p>
            <w:pPr>
              <w:jc w:val="left"/>
              <w:rPr>
                <w:rFonts w:hint="eastAsia" w:ascii="仿宋_GB2312" w:hAnsi="宋体" w:eastAsia="仿宋_GB2312" w:cs="宋体"/>
                <w:color w:val="000000"/>
                <w:kern w:val="0"/>
                <w:sz w:val="22"/>
                <w:szCs w:val="22"/>
              </w:rPr>
            </w:pPr>
            <w:r>
              <w:rPr>
                <w:rFonts w:hint="eastAsia" w:ascii="仿宋_GB2312" w:hAnsi="仿宋_GB2312" w:eastAsia="仿宋_GB2312" w:cs="仿宋_GB2312"/>
                <w:color w:val="000000"/>
                <w:kern w:val="0"/>
                <w:sz w:val="22"/>
                <w:szCs w:val="22"/>
              </w:rPr>
              <w:t>25.企业工作方案。考查企业撰写的方案</w:t>
            </w:r>
            <w:r>
              <w:rPr>
                <w:rFonts w:hint="eastAsia" w:ascii="仿宋_GB2312" w:hAnsi="仿宋_GB2312" w:eastAsia="仿宋_GB2312" w:cs="仿宋_GB2312"/>
                <w:color w:val="000000"/>
                <w:sz w:val="22"/>
                <w:szCs w:val="22"/>
              </w:rPr>
              <w:t>工作基础、工作目标任务、工作措施等内容。</w:t>
            </w:r>
          </w:p>
        </w:tc>
        <w:tc>
          <w:tcPr>
            <w:tcW w:w="763" w:type="dxa"/>
            <w:vAlign w:val="center"/>
          </w:tcPr>
          <w:p>
            <w:pPr>
              <w:jc w:val="center"/>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15</w:t>
            </w:r>
          </w:p>
        </w:tc>
      </w:tr>
    </w:tbl>
    <w:p>
      <w:pPr>
        <w:spacing w:line="560" w:lineRule="exact"/>
        <w:ind w:left="420" w:leftChars="200" w:firstLine="440"/>
        <w:rPr>
          <w:rFonts w:hint="eastAsia" w:ascii="仿宋_GB2312" w:hAnsi="宋体" w:eastAsia="仿宋_GB2312" w:cs="宋体"/>
          <w:color w:val="000000"/>
          <w:kern w:val="0"/>
          <w:sz w:val="22"/>
          <w:szCs w:val="22"/>
          <w:lang w:val="en-US" w:eastAsia="zh-CN"/>
        </w:rPr>
      </w:pPr>
      <w:r>
        <w:rPr>
          <w:rFonts w:hint="eastAsia" w:ascii="仿宋_GB2312" w:hAnsi="宋体" w:eastAsia="仿宋_GB2312" w:cs="宋体"/>
          <w:color w:val="000000"/>
          <w:kern w:val="0"/>
          <w:sz w:val="22"/>
          <w:szCs w:val="22"/>
        </w:rPr>
        <w:t>注：</w:t>
      </w:r>
      <w:r>
        <w:rPr>
          <w:rFonts w:hint="eastAsia" w:ascii="仿宋_GB2312" w:hAnsi="宋体" w:eastAsia="仿宋_GB2312" w:cs="宋体"/>
          <w:color w:val="000000"/>
          <w:kern w:val="0"/>
          <w:sz w:val="22"/>
          <w:szCs w:val="22"/>
          <w:lang w:eastAsia="zh-CN"/>
        </w:rPr>
        <w:t>各</w:t>
      </w:r>
      <w:r>
        <w:rPr>
          <w:rFonts w:hint="eastAsia" w:ascii="仿宋_GB2312" w:hAnsi="宋体" w:eastAsia="仿宋_GB2312" w:cs="宋体"/>
          <w:color w:val="000000"/>
          <w:kern w:val="0"/>
          <w:sz w:val="22"/>
          <w:szCs w:val="22"/>
        </w:rPr>
        <w:t>级指标</w:t>
      </w:r>
      <w:r>
        <w:rPr>
          <w:rFonts w:hint="eastAsia" w:ascii="仿宋_GB2312" w:hAnsi="宋体" w:eastAsia="仿宋_GB2312" w:cs="宋体"/>
          <w:color w:val="000000"/>
          <w:kern w:val="0"/>
          <w:sz w:val="22"/>
          <w:szCs w:val="22"/>
          <w:lang w:eastAsia="zh-CN"/>
        </w:rPr>
        <w:t>详细解读请参阅附件</w:t>
      </w:r>
      <w:r>
        <w:rPr>
          <w:rFonts w:hint="eastAsia" w:ascii="仿宋_GB2312" w:hAnsi="宋体" w:eastAsia="仿宋_GB2312" w:cs="宋体"/>
          <w:color w:val="000000"/>
          <w:kern w:val="0"/>
          <w:sz w:val="22"/>
          <w:szCs w:val="22"/>
          <w:lang w:val="en-US" w:eastAsia="zh-CN"/>
        </w:rPr>
        <w:t>2。</w:t>
      </w:r>
    </w:p>
    <w:p>
      <w:pPr>
        <w:spacing w:line="560" w:lineRule="exact"/>
        <w:rPr>
          <w:rFonts w:hint="eastAsia" w:ascii="仿宋_GB2312" w:hAnsi="宋体" w:eastAsia="仿宋_GB2312" w:cs="宋体"/>
          <w:color w:val="000000"/>
          <w:kern w:val="0"/>
          <w:sz w:val="22"/>
          <w:szCs w:val="22"/>
        </w:rPr>
      </w:pPr>
    </w:p>
    <w:p>
      <w:pPr>
        <w:snapToGrid w:val="0"/>
        <w:spacing w:line="600" w:lineRule="exact"/>
        <w:rPr>
          <w:rFonts w:hint="eastAsia" w:ascii="仿宋_GB2312" w:eastAsia="仿宋_GB2312"/>
          <w:color w:val="000000"/>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5362B"/>
    <w:rsid w:val="2DF5362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2018-08-02T00:46:00Z</dcterms:created>
  <dc:creator>solan</dc:creator>
  <cp:lastModifiedBy>solan</cp:lastModifiedBy>
  <dcterms:modified xsi:type="dcterms:W3CDTF">2018-08-02T00:47:35Z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