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hint="eastAsia" w:ascii="方正小标宋简体" w:hAnsi="宋体" w:eastAsia="方正小标宋简体" w:cs="宋体"/>
          <w:bCs/>
          <w:kern w:val="0"/>
          <w:sz w:val="32"/>
          <w:szCs w:val="32"/>
        </w:rPr>
      </w:pPr>
      <w:r>
        <w:rPr>
          <w:rFonts w:hint="eastAsia" w:ascii="方正小标宋简体" w:hAnsi="宋体" w:eastAsia="方正小标宋简体" w:cs="宋体"/>
          <w:bCs/>
          <w:kern w:val="0"/>
          <w:sz w:val="32"/>
          <w:szCs w:val="32"/>
        </w:rPr>
        <w:t>二○一</w:t>
      </w:r>
      <w:r>
        <w:rPr>
          <w:rFonts w:hint="eastAsia" w:ascii="方正小标宋简体" w:hAnsi="宋体" w:eastAsia="方正小标宋简体" w:cs="宋体"/>
          <w:bCs/>
          <w:kern w:val="0"/>
          <w:sz w:val="32"/>
          <w:szCs w:val="32"/>
          <w:lang w:eastAsia="zh-CN"/>
        </w:rPr>
        <w:t>八</w:t>
      </w:r>
      <w:r>
        <w:rPr>
          <w:rFonts w:hint="eastAsia" w:ascii="方正小标宋简体" w:hAnsi="宋体" w:eastAsia="方正小标宋简体" w:cs="宋体"/>
          <w:bCs/>
          <w:kern w:val="0"/>
          <w:sz w:val="32"/>
          <w:szCs w:val="32"/>
        </w:rPr>
        <w:t>年杨凌示范区产学研用协同创新重大项目计划</w:t>
      </w:r>
    </w:p>
    <w:p>
      <w:pPr>
        <w:wordWrap w:val="0"/>
        <w:snapToGrid w:val="0"/>
        <w:spacing w:line="360" w:lineRule="auto"/>
        <w:jc w:val="right"/>
        <w:rPr>
          <w:rFonts w:hint="eastAsia" w:ascii="仿宋_GB2312" w:hAnsi="宋体" w:eastAsia="仿宋_GB2312" w:cs="宋体"/>
          <w:b/>
          <w:bCs w:val="0"/>
          <w:kern w:val="0"/>
          <w:szCs w:val="21"/>
        </w:rPr>
      </w:pPr>
      <w:r>
        <w:rPr>
          <w:rFonts w:hint="eastAsia" w:ascii="仿宋_GB2312" w:hAnsi="宋体" w:eastAsia="仿宋_GB2312" w:cs="宋体"/>
          <w:b/>
          <w:bCs w:val="0"/>
          <w:kern w:val="0"/>
          <w:szCs w:val="21"/>
        </w:rPr>
        <w:t xml:space="preserve">  单位：万元</w:t>
      </w:r>
    </w:p>
    <w:tbl>
      <w:tblPr>
        <w:tblStyle w:val="3"/>
        <w:tblW w:w="13155" w:type="dxa"/>
        <w:jc w:val="center"/>
        <w:tblInd w:w="0" w:type="dxa"/>
        <w:tblLayout w:type="fixed"/>
        <w:tblCellMar>
          <w:top w:w="0" w:type="dxa"/>
          <w:left w:w="108" w:type="dxa"/>
          <w:bottom w:w="0" w:type="dxa"/>
          <w:right w:w="108" w:type="dxa"/>
        </w:tblCellMar>
      </w:tblPr>
      <w:tblGrid>
        <w:gridCol w:w="441"/>
        <w:gridCol w:w="900"/>
        <w:gridCol w:w="1395"/>
        <w:gridCol w:w="5885"/>
        <w:gridCol w:w="1237"/>
        <w:gridCol w:w="873"/>
        <w:gridCol w:w="1095"/>
        <w:gridCol w:w="720"/>
        <w:gridCol w:w="609"/>
      </w:tblGrid>
      <w:tr>
        <w:tblPrEx>
          <w:tblLayout w:type="fixed"/>
          <w:tblCellMar>
            <w:top w:w="0" w:type="dxa"/>
            <w:left w:w="108" w:type="dxa"/>
            <w:bottom w:w="0" w:type="dxa"/>
            <w:right w:w="108" w:type="dxa"/>
          </w:tblCellMar>
        </w:tblPrEx>
        <w:trPr>
          <w:trHeight w:val="475" w:hRule="atLeast"/>
          <w:tblHeader/>
          <w:jc w:val="center"/>
        </w:trPr>
        <w:tc>
          <w:tcPr>
            <w:tcW w:w="44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bCs w:val="0"/>
                <w:color w:val="000000"/>
                <w:kern w:val="0"/>
                <w:sz w:val="20"/>
              </w:rPr>
            </w:pPr>
            <w:r>
              <w:rPr>
                <w:rFonts w:hint="eastAsia" w:ascii="黑体" w:hAnsi="宋体" w:eastAsia="黑体" w:cs="黑体"/>
                <w:b/>
                <w:bCs w:val="0"/>
                <w:i w:val="0"/>
                <w:color w:val="000000"/>
                <w:kern w:val="0"/>
                <w:sz w:val="18"/>
                <w:szCs w:val="18"/>
                <w:u w:val="none"/>
                <w:lang w:val="en-US" w:eastAsia="zh-CN" w:bidi="ar"/>
              </w:rPr>
              <w:t>序号</w:t>
            </w:r>
          </w:p>
        </w:tc>
        <w:tc>
          <w:tcPr>
            <w:tcW w:w="90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黑体" w:hAnsi="宋体" w:eastAsia="黑体" w:cs="黑体"/>
                <w:b/>
                <w:bCs w:val="0"/>
                <w:i w:val="0"/>
                <w:color w:val="000000"/>
                <w:kern w:val="0"/>
                <w:sz w:val="18"/>
                <w:szCs w:val="18"/>
                <w:u w:val="none"/>
                <w:lang w:val="en-US" w:eastAsia="zh-CN" w:bidi="ar"/>
              </w:rPr>
            </w:pPr>
            <w:r>
              <w:rPr>
                <w:rFonts w:hint="eastAsia" w:ascii="黑体" w:hAnsi="宋体" w:eastAsia="黑体" w:cs="黑体"/>
                <w:b/>
                <w:bCs w:val="0"/>
                <w:i w:val="0"/>
                <w:color w:val="000000"/>
                <w:kern w:val="0"/>
                <w:sz w:val="18"/>
                <w:szCs w:val="18"/>
                <w:u w:val="none"/>
                <w:lang w:val="en-US" w:eastAsia="zh-CN" w:bidi="ar"/>
              </w:rPr>
              <w:t>项目</w:t>
            </w:r>
          </w:p>
          <w:p>
            <w:pPr>
              <w:keepNext w:val="0"/>
              <w:keepLines w:val="0"/>
              <w:widowControl/>
              <w:suppressLineNumbers w:val="0"/>
              <w:jc w:val="center"/>
              <w:textAlignment w:val="center"/>
              <w:rPr>
                <w:rFonts w:hint="eastAsia" w:ascii="黑体" w:hAnsi="宋体" w:eastAsia="黑体" w:cs="黑体"/>
                <w:b/>
                <w:bCs w:val="0"/>
                <w:i w:val="0"/>
                <w:color w:val="000000"/>
                <w:kern w:val="0"/>
                <w:sz w:val="18"/>
                <w:szCs w:val="18"/>
                <w:u w:val="none"/>
                <w:lang w:val="en-US" w:eastAsia="zh-CN" w:bidi="ar"/>
              </w:rPr>
            </w:pPr>
            <w:r>
              <w:rPr>
                <w:rFonts w:hint="eastAsia" w:ascii="黑体" w:hAnsi="宋体" w:eastAsia="黑体" w:cs="黑体"/>
                <w:b/>
                <w:bCs w:val="0"/>
                <w:i w:val="0"/>
                <w:color w:val="000000"/>
                <w:kern w:val="0"/>
                <w:sz w:val="18"/>
                <w:szCs w:val="18"/>
                <w:u w:val="none"/>
                <w:lang w:val="en-US" w:eastAsia="zh-CN" w:bidi="ar"/>
              </w:rPr>
              <w:t>编号</w:t>
            </w:r>
          </w:p>
        </w:tc>
        <w:tc>
          <w:tcPr>
            <w:tcW w:w="139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bCs w:val="0"/>
                <w:color w:val="000000"/>
                <w:kern w:val="0"/>
                <w:sz w:val="20"/>
              </w:rPr>
            </w:pPr>
            <w:r>
              <w:rPr>
                <w:rFonts w:hint="eastAsia" w:ascii="黑体" w:hAnsi="宋体" w:eastAsia="黑体" w:cs="黑体"/>
                <w:b/>
                <w:bCs w:val="0"/>
                <w:i w:val="0"/>
                <w:color w:val="000000"/>
                <w:kern w:val="0"/>
                <w:sz w:val="18"/>
                <w:szCs w:val="18"/>
                <w:u w:val="none"/>
                <w:lang w:val="en-US" w:eastAsia="zh-CN" w:bidi="ar"/>
              </w:rPr>
              <w:t>项目名称</w:t>
            </w:r>
          </w:p>
        </w:tc>
        <w:tc>
          <w:tcPr>
            <w:tcW w:w="588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bCs w:val="0"/>
                <w:color w:val="000000"/>
                <w:kern w:val="0"/>
                <w:sz w:val="20"/>
              </w:rPr>
            </w:pPr>
            <w:r>
              <w:rPr>
                <w:rFonts w:hint="eastAsia" w:ascii="黑体" w:hAnsi="宋体" w:eastAsia="黑体" w:cs="黑体"/>
                <w:b/>
                <w:bCs w:val="0"/>
                <w:i w:val="0"/>
                <w:color w:val="000000"/>
                <w:kern w:val="0"/>
                <w:sz w:val="18"/>
                <w:szCs w:val="18"/>
                <w:u w:val="none"/>
                <w:lang w:val="en-US" w:eastAsia="zh-CN" w:bidi="ar"/>
              </w:rPr>
              <w:t>研究内容及考核目标</w:t>
            </w:r>
          </w:p>
        </w:tc>
        <w:tc>
          <w:tcPr>
            <w:tcW w:w="1237"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bCs w:val="0"/>
                <w:color w:val="000000"/>
                <w:kern w:val="0"/>
                <w:sz w:val="20"/>
              </w:rPr>
            </w:pPr>
            <w:r>
              <w:rPr>
                <w:rFonts w:hint="eastAsia" w:ascii="黑体" w:hAnsi="宋体" w:eastAsia="黑体" w:cs="黑体"/>
                <w:b/>
                <w:bCs w:val="0"/>
                <w:i w:val="0"/>
                <w:color w:val="000000"/>
                <w:kern w:val="0"/>
                <w:sz w:val="18"/>
                <w:szCs w:val="18"/>
                <w:u w:val="none"/>
                <w:lang w:val="en-US" w:eastAsia="zh-CN" w:bidi="ar"/>
              </w:rPr>
              <w:t>承担单位</w:t>
            </w:r>
          </w:p>
        </w:tc>
        <w:tc>
          <w:tcPr>
            <w:tcW w:w="873"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bCs w:val="0"/>
                <w:color w:val="000000"/>
                <w:kern w:val="0"/>
                <w:sz w:val="20"/>
              </w:rPr>
            </w:pPr>
            <w:r>
              <w:rPr>
                <w:rFonts w:hint="eastAsia" w:ascii="黑体" w:hAnsi="宋体" w:eastAsia="黑体" w:cs="黑体"/>
                <w:b/>
                <w:bCs w:val="0"/>
                <w:i w:val="0"/>
                <w:color w:val="000000"/>
                <w:kern w:val="0"/>
                <w:sz w:val="18"/>
                <w:szCs w:val="18"/>
                <w:u w:val="none"/>
                <w:lang w:val="en-US" w:eastAsia="zh-CN" w:bidi="ar"/>
              </w:rPr>
              <w:t>项目负责人</w:t>
            </w:r>
          </w:p>
        </w:tc>
        <w:tc>
          <w:tcPr>
            <w:tcW w:w="1095"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bCs w:val="0"/>
                <w:color w:val="000000"/>
                <w:kern w:val="0"/>
                <w:sz w:val="20"/>
              </w:rPr>
            </w:pPr>
            <w:r>
              <w:rPr>
                <w:rFonts w:hint="eastAsia" w:ascii="黑体" w:hAnsi="宋体" w:eastAsia="黑体" w:cs="黑体"/>
                <w:b/>
                <w:bCs w:val="0"/>
                <w:i w:val="0"/>
                <w:color w:val="000000"/>
                <w:kern w:val="0"/>
                <w:sz w:val="18"/>
                <w:szCs w:val="18"/>
                <w:u w:val="none"/>
                <w:lang w:val="en-US" w:eastAsia="zh-CN" w:bidi="ar"/>
              </w:rPr>
              <w:t>合作单位</w:t>
            </w:r>
          </w:p>
        </w:tc>
        <w:tc>
          <w:tcPr>
            <w:tcW w:w="720"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b/>
                <w:bCs w:val="0"/>
                <w:color w:val="000000"/>
                <w:kern w:val="0"/>
                <w:sz w:val="20"/>
                <w:lang w:eastAsia="zh-CN"/>
              </w:rPr>
            </w:pPr>
            <w:r>
              <w:rPr>
                <w:rFonts w:hint="eastAsia" w:ascii="黑体" w:hAnsi="宋体" w:eastAsia="黑体" w:cs="黑体"/>
                <w:b/>
                <w:bCs w:val="0"/>
                <w:i w:val="0"/>
                <w:color w:val="000000"/>
                <w:kern w:val="0"/>
                <w:sz w:val="18"/>
                <w:szCs w:val="18"/>
                <w:u w:val="none"/>
                <w:lang w:val="en-US" w:eastAsia="zh-CN" w:bidi="ar"/>
              </w:rPr>
              <w:t>资助金额</w:t>
            </w:r>
          </w:p>
        </w:tc>
        <w:tc>
          <w:tcPr>
            <w:tcW w:w="609" w:type="dxa"/>
            <w:tcBorders>
              <w:top w:val="single" w:color="auto" w:sz="4" w:space="0"/>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b/>
                <w:bCs w:val="0"/>
                <w:color w:val="000000"/>
                <w:kern w:val="0"/>
                <w:sz w:val="20"/>
              </w:rPr>
            </w:pPr>
            <w:r>
              <w:rPr>
                <w:rFonts w:hint="eastAsia" w:ascii="黑体" w:hAnsi="宋体" w:eastAsia="黑体" w:cs="黑体"/>
                <w:b/>
                <w:bCs w:val="0"/>
                <w:i w:val="0"/>
                <w:color w:val="000000"/>
                <w:kern w:val="0"/>
                <w:sz w:val="18"/>
                <w:szCs w:val="18"/>
                <w:u w:val="none"/>
                <w:lang w:val="en-US" w:eastAsia="zh-CN" w:bidi="ar"/>
              </w:rPr>
              <w:t>首批 拨付</w:t>
            </w:r>
          </w:p>
        </w:tc>
      </w:tr>
      <w:tr>
        <w:tblPrEx>
          <w:tblLayout w:type="fixed"/>
          <w:tblCellMar>
            <w:top w:w="0" w:type="dxa"/>
            <w:left w:w="108" w:type="dxa"/>
            <w:bottom w:w="0" w:type="dxa"/>
            <w:right w:w="108" w:type="dxa"/>
          </w:tblCellMar>
        </w:tblPrEx>
        <w:trPr>
          <w:trHeight w:val="1049"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2018CXY-01</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磨削硅锭树脂砂轮的制备技术</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主要开发高效、绿色的超硬材料磨削硅锭砂轮技术，建立树脂砂轮生产线，满足正常生产所需，生产寿命长、磨削能力强、抛光性能优异的砂轮替代进口产品。取得专利2-4项，形成一整套企业产品标准和生产工艺标准。实现年销售额2000万，净利润1200万元，上缴税收400万，提供就业岗位50个。</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杨凌美畅新材料股份有限公司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刘少华</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河南工业大学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60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20</w:t>
            </w:r>
          </w:p>
        </w:tc>
      </w:tr>
      <w:tr>
        <w:tblPrEx>
          <w:tblLayout w:type="fixed"/>
          <w:tblCellMar>
            <w:top w:w="0" w:type="dxa"/>
            <w:left w:w="108" w:type="dxa"/>
            <w:bottom w:w="0" w:type="dxa"/>
            <w:right w:w="108" w:type="dxa"/>
          </w:tblCellMar>
        </w:tblPrEx>
        <w:trPr>
          <w:trHeight w:val="1372"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2</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2018CXY-02</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 xml:space="preserve">高产优质多抗小麦种质资源创新与新品种选育 </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本项目采</w:t>
            </w:r>
            <w:bookmarkStart w:id="0" w:name="_GoBack"/>
            <w:bookmarkEnd w:id="0"/>
            <w:r>
              <w:rPr>
                <w:rFonts w:hint="eastAsia" w:ascii="宋体" w:hAnsi="宋体" w:eastAsia="宋体" w:cs="宋体"/>
                <w:i w:val="0"/>
                <w:color w:val="000000"/>
                <w:kern w:val="0"/>
                <w:sz w:val="18"/>
                <w:szCs w:val="18"/>
                <w:u w:val="none"/>
                <w:lang w:val="en-US" w:eastAsia="zh-CN" w:bidi="ar"/>
              </w:rPr>
              <w:t>用基因型快速分析、重要性状精准鉴定技术，筛选出优异种质资源8-10份，挖掘出高产、优质、抗病、抗旱等新基因2-3个；创制出小麦新种质或杂交小麦亲本6-8个，培育出小麦新品种1个，进行小麦新品种的试验示范，制定配套的良种生产及大田生产技术操作规范。</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陕西大唐种业股份有限公司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卜建军</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60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20</w:t>
            </w:r>
          </w:p>
        </w:tc>
      </w:tr>
      <w:tr>
        <w:tblPrEx>
          <w:tblLayout w:type="fixed"/>
          <w:tblCellMar>
            <w:top w:w="0" w:type="dxa"/>
            <w:left w:w="108" w:type="dxa"/>
            <w:bottom w:w="0" w:type="dxa"/>
            <w:right w:w="108" w:type="dxa"/>
          </w:tblCellMar>
        </w:tblPrEx>
        <w:trPr>
          <w:trHeight w:val="1051"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3</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2018CXY-03</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五味子有效成分高效提取关键技术研发及产业化</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对五味子有效成分提取工艺进行技术改造，提升传统规格产品品质，降低生产成本；开发高含量五味子单体木脂素类成分，打造五味子高端市场。达到五味子提取物产量20吨的产业化生产能力，实现年利税650万元，创汇220万美元。</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陕西嘉禾药业有限公司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王春德</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60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20</w:t>
            </w:r>
          </w:p>
        </w:tc>
      </w:tr>
      <w:tr>
        <w:tblPrEx>
          <w:tblLayout w:type="fixed"/>
          <w:tblCellMar>
            <w:top w:w="0" w:type="dxa"/>
            <w:left w:w="108" w:type="dxa"/>
            <w:bottom w:w="0" w:type="dxa"/>
            <w:right w:w="108" w:type="dxa"/>
          </w:tblCellMar>
        </w:tblPrEx>
        <w:trPr>
          <w:trHeight w:val="1302"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4</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2018CXY-04</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猕猴桃益生菌发酵果汁关键技术研发与应用</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对杨凌及周边地区主栽的8个猕猴桃品种的制汁特性与营养品质分析评价，筛选出适宜制汁的品种。研究猕猴桃汁发酵特性与感官评价，优化产品配方与工艺，开发猕猴桃益生菌发酵果汁新产品3-4种，工业化生产猕猴桃益生菌发酵果汁新产品1-2种，申请专利1-2件，制定企业标准1-2项，发表论文3-5篇，中试生产新产品1万瓶，新增产值1000万元，税收50万元。</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陕西众果果汁有限公司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马维君</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60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20</w:t>
            </w:r>
          </w:p>
        </w:tc>
      </w:tr>
      <w:tr>
        <w:tblPrEx>
          <w:tblLayout w:type="fixed"/>
          <w:tblCellMar>
            <w:top w:w="0" w:type="dxa"/>
            <w:left w:w="108" w:type="dxa"/>
            <w:bottom w:w="0" w:type="dxa"/>
            <w:right w:w="108" w:type="dxa"/>
          </w:tblCellMar>
        </w:tblPrEx>
        <w:trPr>
          <w:trHeight w:val="1506"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2018CXY-05</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肉牛健康养殖技术研究与示范</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构建一套养殖场疫病防控集成管理方案，建立口蹄疫疫苗使用优化方案及净化监测指标，口蹄疫A型及O型抗体合格率99%，保护率达到100%。通过饲料营养管理，育肥牛体重达标合格率达到90%以上，死亡淘汰率控制在1%以内。研究肉牛繁育管理系列技术，母牛繁殖力达到一年一胎，流产率小于1%。犊牛成活率大于95%。新增产值200万元，销售收入150万元。</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杨凌秦宝牛业有限公司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史文利</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sz w:val="18"/>
                <w:szCs w:val="18"/>
                <w:lang w:eastAsia="zh-CN"/>
              </w:rPr>
            </w:pPr>
            <w:r>
              <w:rPr>
                <w:rFonts w:hint="eastAsia" w:ascii="宋体" w:hAnsi="宋体" w:eastAsia="宋体" w:cs="宋体"/>
                <w:i w:val="0"/>
                <w:color w:val="000000"/>
                <w:kern w:val="0"/>
                <w:sz w:val="18"/>
                <w:szCs w:val="18"/>
                <w:u w:val="none"/>
                <w:lang w:val="en-US" w:eastAsia="zh-CN" w:bidi="ar"/>
              </w:rPr>
              <w:t>60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20</w:t>
            </w:r>
          </w:p>
        </w:tc>
      </w:tr>
      <w:tr>
        <w:tblPrEx>
          <w:tblLayout w:type="fixed"/>
          <w:tblCellMar>
            <w:top w:w="0" w:type="dxa"/>
            <w:left w:w="108" w:type="dxa"/>
            <w:bottom w:w="0" w:type="dxa"/>
            <w:right w:w="108" w:type="dxa"/>
          </w:tblCellMar>
        </w:tblPrEx>
        <w:trPr>
          <w:trHeight w:val="1372"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6</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2018CXY-06</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高产优质节水小麦新品种选育核心技术及种质资源创新研究</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在建立高效高产优质节水小麦育种技术体系的基础上，通过基础理论体系创新、种质资源创制技术创新、高产优质节水新品种创制和选育研究，创制特异小麦材料10-20份，培育小麦新品种1-2个，建立西北地区旱地小麦选育新体系，发表高水平研究论文2-3篇，农民培训600人次。</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陕西亿阳农业科技有限公司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黄录焕</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242"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7</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2018CXY-07</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玉米种质创新与新品种选育</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本项目通过优化升级陕A 群、陕B群的2个杂种优势群，构建玉米种质改良与创新技术体系，创制抗逆性强、配合力高、农艺性状优良、耐密植、抗倒伏、耐病、适应机械化的玉米优异种质10～15份，培育优异自交系3～5个，培育高产耐密宜机收玉米新品种1-2个。</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color w:val="000000"/>
                <w:sz w:val="18"/>
                <w:szCs w:val="18"/>
              </w:rPr>
            </w:pPr>
            <w:r>
              <w:rPr>
                <w:rFonts w:hint="eastAsia" w:ascii="宋体" w:hAnsi="宋体" w:eastAsia="宋体" w:cs="宋体"/>
                <w:i w:val="0"/>
                <w:color w:val="000000"/>
                <w:kern w:val="0"/>
                <w:sz w:val="18"/>
                <w:szCs w:val="18"/>
                <w:u w:val="none"/>
                <w:lang w:val="en-US" w:eastAsia="zh-CN" w:bidi="ar"/>
              </w:rPr>
              <w:t>杨凌农业高科技发展股份有限公司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黄锁林</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378"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8</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2018CXY-08</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设施瓜菜专用基质开发与高效生产技术研究示范</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以农业废弃物为主要材料研制设施蔬菜专用基质，分析基质养分供应与蔬菜养分需求规律，研究设施蔬菜的营养液管理模式，研发设施蔬菜专用基质栽培新配方1-2种，建立设施蔬菜有机基质栽培管理技术标准2-3项，集成设施蔬菜有机基质无公害栽培技术规程和操作规范2-3套并推广示范，核心示范区农药施用量降低15%以上，培训农民2000人次。</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杨凌珂瑞农业专业合作社联合社</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马新世</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088"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9</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2018CXY-09</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CRISPR/Cas9基因编辑技术创制番茄新型不育系及其应用研究</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利用CRISPR/Cas9基因编辑技术，创制不育性彻底、不影响番茄正常生长发育的雄性不育新材料2-3份，利用CRISPR/Cas9同源重组技术创制紫色种子与育性连锁新材料2份以上，育成具有紫色标记性状的细胞核雄性不育1:1系1个，申报发明专利1项，发表相关论文1-2篇。</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 xml:space="preserve">陕西金棚种业有限公司 </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王晓峰</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西北农林科技大学，陕西省杂交油菜研究中心</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138"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10</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2018CXY-10</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环境友好型畜禽绿色饲料生产研发与应用</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通过采用先进的近红外设备，实现对饲料的各种营养成分进行标准化分析测试，达到了符合动物营养需求和高效养殖需要的“精准营养”，降低生产成本1%。优化适于西北地区的近红外定标体系1套；用于指导精准饲料生产的加工工艺2-3套；发表相关科研论文5-10篇；申请专利1-2项。</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陕西华秦农牧科技有限公司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康开平</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294"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11</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2018CXY-11</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油菜抗根肿病基因挖掘和利用分子设计育种技术实用化选育抗病抗倒早熟新品种</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通过对抗根肿病基因的鉴定、筛选和挖掘，育成抗根肿病宜机收的油菜新品种1-2个，新获抗根肿病抗源抗性基因1-3个，添补新品系2-5个，改良生产上已推广但不抗根肿病的品种1-2个，新开发与育种性状紧密连锁的分子标记5-10个；创制10份以上抗根肿病的优良骨干亲本；提出防控根肿病的综合技术操作规程一份，申报专利1-3项，发表原创性研究论文2-3篇，其中SCI论文1-2篇。</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杨凌天润奥科生物科技有限公司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王  灏</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陕西省杂交油菜油菜研究中心</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179"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12</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2018CXY-12</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杜仲叶林栽培技术优化及其精粉产品关键技术研究</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针对集约化杜仲叶林栽培模式的特点，建立主要工业原料林树种适生立地条件栽培模型与技术标准3个，形成良种快繁技术规程1-3个，建立高效栽培技术规程1-2个，单位面积产量提高20%以上，机械采收处理效率提高3-5倍，成本降低50%-60%，申请专利6件，发表高质量SCI收录论文6篇以上。</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陕西仲欣生态农业有限公司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朱铭强</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332"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13</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2018CXY-13</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基于聚乳酸-聚乙二醇共聚物新型降解地膜的技术研发与中试项目</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研发一套国内一流的基于聚乳酸-聚乙二醇共聚物新型地膜材料制备的技术方案，并达到规模化生产，建设降解塑料树脂粒料生产线1条、降解塑料薄膜生产线1条、以及各种配套设施。形成新产品1个，建立2个示范基地，降解地膜新工艺1套，制定地方标准1项，发表论文1篇，申请专利2项，授权专利1项。</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杨凌瑞丰环保科技有限公司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王  治</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955"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14</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2018CXY-14</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山地果园水肥协同与设施农业沼液灌溉技术创新研究与示范</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研究针对山地果园水肥高效利用和沼液灌溉要解决的关键技术难题，形成山地果园水肥高效利用、基于经济效益的水-沼液一体化灌溉的技术体系各1套，建立山地果园水肥协同、基于沼液特性和作物的灌溉调控模式3套，在陕北黄土丘陵区建立山地果园水肥高效利用技术示范区300亩，在杨凌推广应用300亩，水肥利用效率提升10%以上，替代化肥50%以上，申报专利4项，发表论文5篇。</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杨凌瑞沃水利水电规划设计有限公司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王  健</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296"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15</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2018CXY-15</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特殊生物菌种BC39的选育及产业化关键技术的研究和应用</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研究采用现代生物技术，从数万株秦岭原始森林土壤微生物菌库中，筛选出一株高效、杀菌谱广、抗逆性强、对作物和非靶标生物以及环境安全的生防菌株BC39，起草和颁布1项特殊微生物菌剂市级以上质量技术标准，申报专利1-2项，发表相关论文2-3篇，举办培训班5场次，培训相关技术人员500人次，示范推广面积500亩。</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杨凌绿都生物科技有限公司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  轩</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372"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16</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2018CXY-16</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彩色小麦种质资源创制及保健产品开发</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通过现代分子育种技术对优质品质性状进行聚合，研发彩色小麦全系产品的加工工艺，建立彩色小麦品种（系）品质相关性状数据库，创制100个以上聚合优良基因型彩色小麦品系，生产彩色小麦全麦面包30万份， 生产小麦片、青汁、爆米花等三类以上彩色产品， 申报专利4项，培养研究生3人。</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杨凌沃邦生态农业股份有限公司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李  莹</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475"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17</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2018CXY-17</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马铃薯主食化加工关键技术研究及系列产品开发</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将解决马铃薯主食化产品加工中的关键技术难点，确定马铃薯主食化加工关键技术，研发马铃薯主食产品4种，建设马铃薯深加工产品中试生产线和生产线各1条，制定紫马铃薯生全粉、NFC紫马铃薯汁企业标准2个，发表与项目有关的科研论文4篇，其中EI收录论文2篇，培养硕士研究生4名，培养企业技术骨干20名，农民培训200人次，就业培训20人次。</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杨凌金薯种业科技有限公司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朱渭兵</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110"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18</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2018CXY-18</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陕西特色水果低温冷加工关键技术研究与产业化示范</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以苹果、猕猴桃、草莓三种果蔬产品高品质、营养健康深加工为目标，重点突破超高压杀菌技术、低温冷破碎冷提汁技术及低温等离子体灭酶杀菌技术在果汁生产中的应用，研究开发三个高端产品，发表论文1-2篇，申报发明专利1-2项。制定企业标准2套。生产规范及质量评价体系3套，建设1条NFC果汁生产线，培养技术骨干5-10人。新增销售收入2500万元，利润200万元，税收30万元。</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杨凌环球园艺有限公司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顾小福</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陕西师范大学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301"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19</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2018CXY-19</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关中地区特色猪肉产品的精深加工技术集成</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研究有效控制关中地区特色猪肉产品品质的理论方法，开发创建特色肉制品加工体系和全程质量安全控制技术体系。开发关中地区特色猪肉新产品2-4种。采用加入天然抑菌剂等综合保鲜技术，使特色猪肉制品在0～4℃的保质期不低于45天，10℃以下不低于30天。建立关中地区特色猪肉产品全程质量控制体系，达到行业内领先。实现新增销售1000万元，利润400万元，缴税160万元。</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杨凌天成东北特种野猪养殖有限公司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刘海英</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90" w:hRule="atLeast"/>
          <w:jc w:val="center"/>
        </w:trPr>
        <w:tc>
          <w:tcPr>
            <w:tcW w:w="441" w:type="dxa"/>
            <w:tcBorders>
              <w:top w:val="nil"/>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20</w:t>
            </w:r>
          </w:p>
        </w:tc>
        <w:tc>
          <w:tcPr>
            <w:tcW w:w="90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2018CXY-20</w:t>
            </w:r>
          </w:p>
        </w:tc>
        <w:tc>
          <w:tcPr>
            <w:tcW w:w="13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cs="宋体"/>
                <w:sz w:val="18"/>
                <w:szCs w:val="18"/>
              </w:rPr>
            </w:pPr>
            <w:r>
              <w:rPr>
                <w:rFonts w:hint="eastAsia" w:ascii="宋体" w:hAnsi="宋体" w:eastAsia="宋体" w:cs="宋体"/>
                <w:i w:val="0"/>
                <w:color w:val="000000"/>
                <w:kern w:val="0"/>
                <w:sz w:val="18"/>
                <w:szCs w:val="18"/>
                <w:u w:val="none"/>
                <w:lang w:val="en-US" w:eastAsia="zh-CN" w:bidi="ar"/>
              </w:rPr>
              <w:t>奶牛智能疾病预警仪的研发与应用</w:t>
            </w:r>
          </w:p>
        </w:tc>
        <w:tc>
          <w:tcPr>
            <w:tcW w:w="5885" w:type="dxa"/>
            <w:tcBorders>
              <w:top w:val="nil"/>
              <w:left w:val="nil"/>
              <w:bottom w:val="single" w:color="auto" w:sz="4" w:space="0"/>
              <w:right w:val="single" w:color="auto" w:sz="4" w:space="0"/>
            </w:tcBorders>
            <w:vAlign w:val="center"/>
          </w:tcPr>
          <w:p>
            <w:pPr>
              <w:keepNext w:val="0"/>
              <w:keepLines w:val="0"/>
              <w:widowControl/>
              <w:suppressLineNumbers w:val="0"/>
              <w:jc w:val="left"/>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本项目研究牛只生理行为规律，利用物联网技术自动采集牛只生理行为，利用软件自动判断牛只疾病和发情状况，所研制的牛只疾病发情监测仪用于畜牧生产实践，将牛只发情揭发率提高到95%，实现年销售1万件，销售额300万。申请软件著作权1项、实用新型专利和外观专利各1项。</w:t>
            </w:r>
          </w:p>
        </w:tc>
        <w:tc>
          <w:tcPr>
            <w:tcW w:w="1237"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杨凌秾福农牧科技服务有限公司</w:t>
            </w:r>
          </w:p>
        </w:tc>
        <w:tc>
          <w:tcPr>
            <w:tcW w:w="873"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王炳科</w:t>
            </w:r>
          </w:p>
        </w:tc>
        <w:tc>
          <w:tcPr>
            <w:tcW w:w="1095"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sz w:val="18"/>
                <w:szCs w:val="18"/>
              </w:rPr>
            </w:pPr>
            <w:r>
              <w:rPr>
                <w:rFonts w:hint="eastAsia" w:ascii="宋体" w:hAnsi="宋体" w:eastAsia="宋体" w:cs="宋体"/>
                <w:i w:val="0"/>
                <w:color w:val="000000"/>
                <w:kern w:val="0"/>
                <w:sz w:val="18"/>
                <w:szCs w:val="18"/>
                <w:u w:val="none"/>
                <w:lang w:val="en-US" w:eastAsia="zh-CN" w:bidi="ar"/>
              </w:rPr>
              <w:t>50</w:t>
            </w:r>
          </w:p>
        </w:tc>
        <w:tc>
          <w:tcPr>
            <w:tcW w:w="609" w:type="dxa"/>
            <w:tcBorders>
              <w:top w:val="nil"/>
              <w:left w:val="nil"/>
              <w:bottom w:val="single" w:color="auto" w:sz="4" w:space="0"/>
              <w:right w:val="single" w:color="auto" w:sz="4" w:space="0"/>
            </w:tcBorders>
            <w:vAlign w:val="center"/>
          </w:tcPr>
          <w:p>
            <w:pPr>
              <w:keepNext w:val="0"/>
              <w:keepLines w:val="0"/>
              <w:widowControl/>
              <w:suppressLineNumbers w:val="0"/>
              <w:jc w:val="center"/>
              <w:textAlignment w:val="center"/>
              <w:rPr>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975" w:hRule="atLeast"/>
          <w:jc w:val="center"/>
        </w:trPr>
        <w:tc>
          <w:tcPr>
            <w:tcW w:w="441"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ascii="宋体" w:hAnsi="宋体" w:cs="宋体"/>
                <w:kern w:val="0"/>
                <w:sz w:val="18"/>
                <w:szCs w:val="18"/>
              </w:rPr>
            </w:pPr>
            <w:r>
              <w:rPr>
                <w:rFonts w:hint="eastAsia" w:ascii="宋体" w:hAnsi="宋体" w:eastAsia="宋体" w:cs="宋体"/>
                <w:i w:val="0"/>
                <w:color w:val="000000"/>
                <w:kern w:val="0"/>
                <w:sz w:val="18"/>
                <w:szCs w:val="18"/>
                <w:u w:val="none"/>
                <w:lang w:val="en-US" w:eastAsia="zh-CN" w:bidi="ar"/>
              </w:rPr>
              <w:t>21</w:t>
            </w:r>
          </w:p>
        </w:tc>
        <w:tc>
          <w:tcPr>
            <w:tcW w:w="900"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2018CXY-21</w:t>
            </w:r>
          </w:p>
        </w:tc>
        <w:tc>
          <w:tcPr>
            <w:tcW w:w="139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pPr>
            <w:r>
              <w:rPr>
                <w:rFonts w:hint="eastAsia" w:ascii="宋体" w:hAnsi="宋体" w:eastAsia="宋体" w:cs="宋体"/>
                <w:i w:val="0"/>
                <w:color w:val="000000"/>
                <w:kern w:val="0"/>
                <w:sz w:val="18"/>
                <w:szCs w:val="18"/>
                <w:u w:val="none"/>
                <w:lang w:val="en-US" w:eastAsia="zh-CN" w:bidi="ar"/>
              </w:rPr>
              <w:t>多功能果园田间管理作业机研发及产业化</w:t>
            </w:r>
          </w:p>
        </w:tc>
        <w:tc>
          <w:tcPr>
            <w:tcW w:w="588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left"/>
              <w:textAlignment w:val="center"/>
            </w:pPr>
            <w:r>
              <w:rPr>
                <w:rFonts w:hint="eastAsia" w:ascii="宋体" w:hAnsi="宋体" w:eastAsia="宋体" w:cs="宋体"/>
                <w:i w:val="0"/>
                <w:color w:val="000000"/>
                <w:kern w:val="0"/>
                <w:sz w:val="18"/>
                <w:szCs w:val="18"/>
                <w:u w:val="none"/>
                <w:lang w:val="en-US" w:eastAsia="zh-CN" w:bidi="ar"/>
              </w:rPr>
              <w:t>本项目研究适合于猕猴桃、葡萄、苹果、梨、桃、杏等果园田间管理作业的多功能小型耕整地机械。项目建成后达到年产3000台多功能果园田间管理作业机产能，实现年销售收入900万元，净利润 171.5万元，缴税 82万元，解决社会就业40人。</w:t>
            </w:r>
          </w:p>
        </w:tc>
        <w:tc>
          <w:tcPr>
            <w:tcW w:w="1237"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pPr>
            <w:r>
              <w:rPr>
                <w:rFonts w:hint="eastAsia" w:ascii="宋体" w:hAnsi="宋体" w:eastAsia="宋体" w:cs="宋体"/>
                <w:i w:val="0"/>
                <w:color w:val="000000"/>
                <w:kern w:val="0"/>
                <w:sz w:val="18"/>
                <w:szCs w:val="18"/>
                <w:u w:val="none"/>
                <w:lang w:val="en-US" w:eastAsia="zh-CN" w:bidi="ar"/>
              </w:rPr>
              <w:t>杨凌鲁力农机装备有限公司</w:t>
            </w:r>
          </w:p>
        </w:tc>
        <w:tc>
          <w:tcPr>
            <w:tcW w:w="873"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pPr>
            <w:r>
              <w:rPr>
                <w:rFonts w:hint="eastAsia" w:ascii="宋体" w:hAnsi="宋体" w:eastAsia="宋体" w:cs="宋体"/>
                <w:i w:val="0"/>
                <w:color w:val="000000"/>
                <w:kern w:val="0"/>
                <w:sz w:val="18"/>
                <w:szCs w:val="18"/>
                <w:u w:val="none"/>
                <w:lang w:val="en-US" w:eastAsia="zh-CN" w:bidi="ar"/>
              </w:rPr>
              <w:t>鲁  城</w:t>
            </w:r>
          </w:p>
        </w:tc>
        <w:tc>
          <w:tcPr>
            <w:tcW w:w="109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pPr>
            <w:r>
              <w:rPr>
                <w:rFonts w:hint="eastAsia" w:ascii="宋体" w:hAnsi="宋体" w:eastAsia="宋体" w:cs="宋体"/>
                <w:i w:val="0"/>
                <w:color w:val="000000"/>
                <w:kern w:val="0"/>
                <w:sz w:val="18"/>
                <w:szCs w:val="18"/>
                <w:u w:val="none"/>
                <w:lang w:val="en-US" w:eastAsia="zh-CN" w:bidi="ar"/>
              </w:rPr>
              <w:t>50</w:t>
            </w:r>
          </w:p>
        </w:tc>
        <w:tc>
          <w:tcPr>
            <w:tcW w:w="60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ascii="宋体" w:hAnsi="宋体" w:cs="宋体"/>
                <w:kern w:val="0"/>
                <w:sz w:val="18"/>
                <w:szCs w:val="18"/>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283" w:hRule="atLeast"/>
          <w:jc w:val="center"/>
        </w:trPr>
        <w:tc>
          <w:tcPr>
            <w:tcW w:w="441"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22</w:t>
            </w:r>
          </w:p>
        </w:tc>
        <w:tc>
          <w:tcPr>
            <w:tcW w:w="900"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2018CXY-22</w:t>
            </w:r>
          </w:p>
        </w:tc>
        <w:tc>
          <w:tcPr>
            <w:tcW w:w="139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植物工厂营养液在线检测及自动调配装置研发</w:t>
            </w:r>
          </w:p>
        </w:tc>
        <w:tc>
          <w:tcPr>
            <w:tcW w:w="588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本项目研究及开发植物工厂营养液在线检测及自动调配装置，实现植物工厂营养液的自动化管理，建造植物工厂30余座，将该系统装置成功应用于植物工厂及其附属产品中。建成一条营养液在线检测及自动调配装置生产线，具备1万平米植物工厂的产能。实现销售总额530万元，净利润106万元，税金18万元。</w:t>
            </w:r>
          </w:p>
        </w:tc>
        <w:tc>
          <w:tcPr>
            <w:tcW w:w="1237"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陕西旭田光电农业科技有限公司</w:t>
            </w:r>
          </w:p>
        </w:tc>
        <w:tc>
          <w:tcPr>
            <w:tcW w:w="873"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王  琦</w:t>
            </w:r>
          </w:p>
        </w:tc>
        <w:tc>
          <w:tcPr>
            <w:tcW w:w="109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60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1372" w:hRule="atLeast"/>
          <w:jc w:val="center"/>
        </w:trPr>
        <w:tc>
          <w:tcPr>
            <w:tcW w:w="441"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w:t>
            </w:r>
          </w:p>
        </w:tc>
        <w:tc>
          <w:tcPr>
            <w:tcW w:w="900"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2018CXY-23</w:t>
            </w:r>
          </w:p>
        </w:tc>
        <w:tc>
          <w:tcPr>
            <w:tcW w:w="139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作物长势及胁迫无人机遥感监测系统研发</w:t>
            </w:r>
          </w:p>
        </w:tc>
        <w:tc>
          <w:tcPr>
            <w:tcW w:w="588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本项目开发作物长势和胁迫信息无人机可见光、近红外、热红外相机集成监测的新系统，现场飞行测试，多旋翼无人机飞行时间25分钟以上，固定翼无人机飞行时间40-80分钟以上，提供稳定、符合空间分辨率要求的多光谱、热红外图像。开发的农情信息监测模型精度达到80%。研发无人机监测系统2～3套，发表论文3篇，授权专利3件，软件注册登记3件。</w:t>
            </w:r>
          </w:p>
        </w:tc>
        <w:tc>
          <w:tcPr>
            <w:tcW w:w="1237"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杨凌禾讯遥感科技有限公司</w:t>
            </w:r>
          </w:p>
        </w:tc>
        <w:tc>
          <w:tcPr>
            <w:tcW w:w="873"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韩文霆</w:t>
            </w:r>
          </w:p>
        </w:tc>
        <w:tc>
          <w:tcPr>
            <w:tcW w:w="1095" w:type="dxa"/>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西北农林科技大学</w:t>
            </w:r>
          </w:p>
        </w:tc>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w:t>
            </w:r>
          </w:p>
        </w:tc>
        <w:tc>
          <w:tcPr>
            <w:tcW w:w="60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18</w:t>
            </w:r>
          </w:p>
        </w:tc>
      </w:tr>
      <w:tr>
        <w:tblPrEx>
          <w:tblLayout w:type="fixed"/>
          <w:tblCellMar>
            <w:top w:w="0" w:type="dxa"/>
            <w:left w:w="108" w:type="dxa"/>
            <w:bottom w:w="0" w:type="dxa"/>
            <w:right w:w="108" w:type="dxa"/>
          </w:tblCellMar>
        </w:tblPrEx>
        <w:trPr>
          <w:trHeight w:val="427" w:hRule="atLeast"/>
          <w:jc w:val="center"/>
        </w:trPr>
        <w:tc>
          <w:tcPr>
            <w:tcW w:w="11826" w:type="dxa"/>
            <w:gridSpan w:val="7"/>
            <w:tcBorders>
              <w:top w:val="single" w:color="auto" w:sz="4" w:space="0"/>
              <w:left w:val="single" w:color="auto" w:sz="4" w:space="0"/>
              <w:bottom w:val="single" w:color="auto" w:sz="4" w:space="0"/>
              <w:right w:val="single" w:color="000000"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合计</w:t>
            </w:r>
          </w:p>
        </w:tc>
        <w:tc>
          <w:tcPr>
            <w:tcW w:w="72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1200</w:t>
            </w:r>
          </w:p>
        </w:tc>
        <w:tc>
          <w:tcPr>
            <w:tcW w:w="609"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424</w:t>
            </w:r>
          </w:p>
        </w:tc>
      </w:tr>
    </w:tbl>
    <w:p/>
    <w:sectPr>
      <w:pgSz w:w="16838" w:h="11906" w:orient="landscape"/>
      <w:pgMar w:top="1559" w:right="1985" w:bottom="1474" w:left="1928" w:header="851" w:footer="1588" w:gutter="0"/>
      <w:cols w:space="720" w:num="1"/>
      <w:docGrid w:linePitch="32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A6AB7"/>
    <w:rsid w:val="41ED16CD"/>
    <w:rsid w:val="4D0429B2"/>
    <w:rsid w:val="547B2B71"/>
    <w:rsid w:val="58625FC4"/>
    <w:rsid w:val="5F341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2018-05-25T02:06:00Z</cp:lastPrinted>
  <dcterms:modified xsi:type="dcterms:W3CDTF">2018-05-28T09:49:41Z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