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D68E82">
      <w:pPr>
        <w:jc w:val="center"/>
        <w:rPr>
          <w:rFonts w:ascii="黑体" w:hAnsi="黑体" w:eastAsia="黑体"/>
          <w:sz w:val="32"/>
        </w:rPr>
      </w:pPr>
      <w:r>
        <w:rPr>
          <w:rFonts w:hint="eastAsia" w:ascii="黑体" w:hAnsi="黑体" w:eastAsia="黑体"/>
          <w:sz w:val="32"/>
        </w:rPr>
        <w:t>202</w:t>
      </w:r>
      <w:r>
        <w:rPr>
          <w:rFonts w:ascii="黑体" w:hAnsi="黑体" w:eastAsia="黑体"/>
          <w:sz w:val="32"/>
        </w:rPr>
        <w:t>4</w:t>
      </w:r>
      <w:r>
        <w:rPr>
          <w:rFonts w:hint="eastAsia" w:ascii="黑体" w:hAnsi="黑体" w:eastAsia="黑体"/>
          <w:sz w:val="32"/>
        </w:rPr>
        <w:t>年度</w:t>
      </w:r>
      <w:r>
        <w:rPr>
          <w:rFonts w:hint="eastAsia" w:ascii="黑体" w:hAnsi="黑体" w:eastAsia="黑体"/>
          <w:sz w:val="32"/>
          <w:lang w:val="en-US" w:eastAsia="zh-CN"/>
        </w:rPr>
        <w:t>陕西</w:t>
      </w:r>
      <w:r>
        <w:rPr>
          <w:rFonts w:hint="eastAsia" w:ascii="黑体" w:hAnsi="黑体" w:eastAsia="黑体"/>
          <w:sz w:val="32"/>
        </w:rPr>
        <w:t>省最高科学技术奖</w:t>
      </w:r>
      <w:r>
        <w:rPr>
          <w:rFonts w:hint="eastAsia" w:ascii="黑体" w:hAnsi="黑体" w:eastAsia="黑体"/>
          <w:sz w:val="32"/>
          <w:lang w:val="en-US" w:eastAsia="zh-CN"/>
        </w:rPr>
        <w:t>拟</w:t>
      </w:r>
      <w:r>
        <w:rPr>
          <w:rFonts w:hint="eastAsia" w:ascii="黑体" w:hAnsi="黑体" w:eastAsia="黑体"/>
          <w:sz w:val="32"/>
        </w:rPr>
        <w:t>提名候选人公示材料</w:t>
      </w:r>
    </w:p>
    <w:p w14:paraId="73D1DEE8"/>
    <w:p w14:paraId="1775ADC3">
      <w:pPr>
        <w:pStyle w:val="8"/>
        <w:numPr>
          <w:ilvl w:val="0"/>
          <w:numId w:val="0"/>
        </w:numPr>
        <w:ind w:left="480" w:leftChars="0"/>
        <w:jc w:val="both"/>
        <w:rPr>
          <w:rFonts w:ascii="黑体" w:hAnsi="黑体" w:eastAsia="黑体"/>
        </w:rPr>
      </w:pPr>
      <w:r>
        <w:rPr>
          <w:rFonts w:hint="eastAsia" w:ascii="黑体" w:hAnsi="黑体" w:eastAsia="黑体"/>
          <w:sz w:val="28"/>
          <w:lang w:val="en-US" w:eastAsia="zh-CN"/>
        </w:rPr>
        <w:t>一、</w:t>
      </w:r>
      <w:r>
        <w:rPr>
          <w:rFonts w:hint="eastAsia" w:ascii="黑体" w:hAnsi="黑体" w:eastAsia="黑体"/>
          <w:sz w:val="28"/>
        </w:rPr>
        <w:t>候选人</w:t>
      </w:r>
      <w:r>
        <w:rPr>
          <w:rFonts w:ascii="黑体" w:hAnsi="黑体" w:eastAsia="黑体"/>
          <w:sz w:val="28"/>
        </w:rPr>
        <w:t>基本情况</w:t>
      </w:r>
    </w:p>
    <w:p w14:paraId="781218D8">
      <w:pPr>
        <w:snapToGrid w:val="0"/>
        <w:spacing w:after="156" w:afterLines="50" w:line="400" w:lineRule="exact"/>
        <w:ind w:firstLine="480" w:firstLineChars="200"/>
        <w:rPr>
          <w:color w:val="000000"/>
          <w:szCs w:val="28"/>
        </w:rPr>
      </w:pPr>
      <w:r>
        <w:rPr>
          <w:rFonts w:hint="eastAsia"/>
          <w:color w:val="000000"/>
          <w:szCs w:val="28"/>
        </w:rPr>
        <w:t>康振生，男</w:t>
      </w:r>
      <w:r>
        <w:rPr>
          <w:color w:val="000000"/>
          <w:szCs w:val="28"/>
        </w:rPr>
        <w:t>，</w:t>
      </w:r>
      <w:r>
        <w:rPr>
          <w:rFonts w:hint="eastAsia"/>
          <w:color w:val="000000"/>
          <w:szCs w:val="28"/>
        </w:rPr>
        <w:t>1957年10月出生，</w:t>
      </w:r>
      <w:r>
        <w:rPr>
          <w:color w:val="000000"/>
          <w:szCs w:val="28"/>
        </w:rPr>
        <w:t>四川安岳</w:t>
      </w:r>
      <w:r>
        <w:rPr>
          <w:rFonts w:hint="eastAsia"/>
          <w:color w:val="000000"/>
          <w:szCs w:val="28"/>
        </w:rPr>
        <w:t>人</w:t>
      </w:r>
      <w:r>
        <w:rPr>
          <w:color w:val="000000"/>
          <w:szCs w:val="28"/>
        </w:rPr>
        <w:t>，</w:t>
      </w:r>
      <w:r>
        <w:rPr>
          <w:rFonts w:hint="eastAsia"/>
          <w:color w:val="000000"/>
          <w:szCs w:val="28"/>
        </w:rPr>
        <w:t>中国工程院院士，西北农林科技大学教授、博士生导师。康振生院士长期致力于小麦重大病害成灾</w:t>
      </w:r>
      <w:r>
        <w:rPr>
          <w:color w:val="000000"/>
          <w:szCs w:val="28"/>
        </w:rPr>
        <w:t>机理与</w:t>
      </w:r>
      <w:r>
        <w:rPr>
          <w:rFonts w:hint="eastAsia"/>
          <w:color w:val="000000"/>
          <w:szCs w:val="28"/>
        </w:rPr>
        <w:t>绿色防控</w:t>
      </w:r>
      <w:r>
        <w:rPr>
          <w:color w:val="000000"/>
          <w:szCs w:val="28"/>
        </w:rPr>
        <w:t>研究</w:t>
      </w:r>
      <w:r>
        <w:rPr>
          <w:rFonts w:hint="eastAsia"/>
          <w:color w:val="000000"/>
          <w:szCs w:val="28"/>
        </w:rPr>
        <w:t>，取得系列</w:t>
      </w:r>
      <w:r>
        <w:rPr>
          <w:color w:val="000000"/>
          <w:szCs w:val="28"/>
        </w:rPr>
        <w:t>原创性突破。</w:t>
      </w:r>
      <w:r>
        <w:rPr>
          <w:rFonts w:hint="eastAsia"/>
          <w:color w:val="000000"/>
          <w:szCs w:val="28"/>
        </w:rPr>
        <w:t>首次发现小麦条锈菌有性生殖现象，破解了病菌毒性变异的世界性难题，推动锈病研究进入新阶段；揭示了病菌活体营养寄生的致病本质，发现了全球首个被病菌操纵的小麦感条锈病基因，通过</w:t>
      </w:r>
      <w:r>
        <w:rPr>
          <w:color w:val="000000"/>
          <w:szCs w:val="28"/>
        </w:rPr>
        <w:t>编辑感病基因</w:t>
      </w:r>
      <w:r>
        <w:rPr>
          <w:rFonts w:hint="eastAsia"/>
          <w:color w:val="000000"/>
          <w:szCs w:val="28"/>
        </w:rPr>
        <w:t>创制了兼具广谱抗性和</w:t>
      </w:r>
      <w:r>
        <w:rPr>
          <w:color w:val="000000"/>
          <w:szCs w:val="28"/>
        </w:rPr>
        <w:t>优良</w:t>
      </w:r>
      <w:r>
        <w:rPr>
          <w:rFonts w:hint="eastAsia"/>
          <w:color w:val="000000"/>
          <w:szCs w:val="28"/>
        </w:rPr>
        <w:t>农艺性状</w:t>
      </w:r>
      <w:r>
        <w:rPr>
          <w:color w:val="000000"/>
          <w:szCs w:val="28"/>
        </w:rPr>
        <w:t>的小麦新材料，</w:t>
      </w:r>
      <w:r>
        <w:rPr>
          <w:rFonts w:hint="eastAsia"/>
          <w:color w:val="000000"/>
          <w:szCs w:val="28"/>
        </w:rPr>
        <w:t>为我国现代生物育种和病害绿色防控提供了科技支撑。研发了条锈菌有性菌源控制技术，攻克了因病菌变异导致品种抗性丧失的重大生产难题；构建的小麦条锈病、赤霉病绿色综合防控技术体系应用</w:t>
      </w:r>
      <w:r>
        <w:rPr>
          <w:color w:val="000000"/>
          <w:szCs w:val="28"/>
        </w:rPr>
        <w:t>成效显著，</w:t>
      </w:r>
      <w:r>
        <w:rPr>
          <w:rFonts w:hint="eastAsia"/>
          <w:color w:val="000000"/>
          <w:szCs w:val="28"/>
        </w:rPr>
        <w:t>保障</w:t>
      </w:r>
      <w:r>
        <w:rPr>
          <w:color w:val="000000"/>
          <w:szCs w:val="28"/>
        </w:rPr>
        <w:t>了小麦安全生产</w:t>
      </w:r>
      <w:r>
        <w:rPr>
          <w:rFonts w:hint="eastAsia"/>
          <w:color w:val="000000"/>
          <w:szCs w:val="28"/>
        </w:rPr>
        <w:t>和国家粮食安全。作为</w:t>
      </w:r>
      <w:r>
        <w:rPr>
          <w:color w:val="000000"/>
          <w:szCs w:val="28"/>
        </w:rPr>
        <w:t>学术带头人，他</w:t>
      </w:r>
      <w:r>
        <w:rPr>
          <w:rFonts w:hint="eastAsia"/>
          <w:color w:val="000000"/>
          <w:szCs w:val="28"/>
        </w:rPr>
        <w:t>主持建成了旱区作物逆境生物学国家重点实验室等重大科研平台，推动西北农林科技大学植物病理学科跻身国家重点学科，植物保护专业入选国家“双一流”建设学科，为陕西</w:t>
      </w:r>
      <w:r>
        <w:rPr>
          <w:color w:val="000000"/>
          <w:szCs w:val="28"/>
        </w:rPr>
        <w:t>省和国家植保领域培养了一大批一流人才</w:t>
      </w:r>
      <w:r>
        <w:rPr>
          <w:rFonts w:hint="eastAsia"/>
          <w:color w:val="000000"/>
          <w:szCs w:val="28"/>
        </w:rPr>
        <w:t>。</w:t>
      </w:r>
    </w:p>
    <w:p w14:paraId="0898C4A5">
      <w:pPr>
        <w:pStyle w:val="8"/>
        <w:numPr>
          <w:ilvl w:val="0"/>
          <w:numId w:val="0"/>
        </w:numPr>
        <w:ind w:left="480" w:leftChars="0"/>
        <w:jc w:val="both"/>
      </w:pPr>
      <w:r>
        <w:rPr>
          <w:rFonts w:hint="eastAsia" w:ascii="黑体" w:hAnsi="黑体" w:eastAsia="黑体"/>
          <w:sz w:val="28"/>
          <w:lang w:val="en-US" w:eastAsia="zh-CN"/>
        </w:rPr>
        <w:t>二、</w:t>
      </w:r>
      <w:r>
        <w:rPr>
          <w:rFonts w:hint="eastAsia" w:ascii="黑体" w:hAnsi="黑体" w:eastAsia="黑体"/>
          <w:sz w:val="28"/>
        </w:rPr>
        <w:t>提名</w:t>
      </w:r>
      <w:r>
        <w:rPr>
          <w:rFonts w:hint="eastAsia" w:ascii="黑体" w:hAnsi="黑体" w:eastAsia="黑体"/>
          <w:sz w:val="28"/>
          <w:lang w:val="en-US" w:eastAsia="zh-CN"/>
        </w:rPr>
        <w:t>单位</w:t>
      </w:r>
      <w:r>
        <w:rPr>
          <w:rFonts w:ascii="黑体" w:hAnsi="黑体" w:eastAsia="黑体"/>
          <w:sz w:val="28"/>
        </w:rPr>
        <w:t>及意见</w:t>
      </w:r>
    </w:p>
    <w:p w14:paraId="5237F9F4">
      <w:pPr>
        <w:pStyle w:val="8"/>
        <w:snapToGrid w:val="0"/>
        <w:spacing w:before="156" w:beforeLines="50" w:line="400" w:lineRule="exact"/>
        <w:ind w:left="425" w:leftChars="177" w:firstLine="79" w:firstLineChars="0"/>
        <w:rPr>
          <w:b/>
        </w:rPr>
      </w:pPr>
      <w:r>
        <w:rPr>
          <w:rFonts w:hint="eastAsia"/>
          <w:b/>
        </w:rPr>
        <w:t>提名</w:t>
      </w:r>
      <w:r>
        <w:rPr>
          <w:rFonts w:hint="eastAsia"/>
          <w:b/>
          <w:lang w:val="en-US" w:eastAsia="zh-CN"/>
        </w:rPr>
        <w:t>单位</w:t>
      </w:r>
      <w:r>
        <w:rPr>
          <w:rFonts w:hint="eastAsia"/>
          <w:b/>
        </w:rPr>
        <w:t>：杨凌农业高新技术产业示范区管理委员会</w:t>
      </w:r>
    </w:p>
    <w:p w14:paraId="5A96C205">
      <w:pPr>
        <w:pStyle w:val="8"/>
        <w:snapToGrid w:val="0"/>
        <w:spacing w:line="400" w:lineRule="exact"/>
        <w:ind w:left="425" w:leftChars="177" w:firstLine="79" w:firstLineChars="0"/>
        <w:rPr>
          <w:b/>
        </w:rPr>
      </w:pPr>
      <w:r>
        <w:rPr>
          <w:rFonts w:hint="eastAsia"/>
          <w:b/>
        </w:rPr>
        <w:t>提名意见：</w:t>
      </w:r>
    </w:p>
    <w:p w14:paraId="2C4F92FA">
      <w:pPr>
        <w:snapToGrid w:val="0"/>
        <w:spacing w:after="156" w:afterLines="50" w:line="400" w:lineRule="exact"/>
        <w:ind w:firstLine="480" w:firstLineChars="200"/>
        <w:rPr>
          <w:color w:val="000000"/>
          <w:szCs w:val="28"/>
        </w:rPr>
      </w:pPr>
      <w:r>
        <w:rPr>
          <w:color w:val="000000"/>
          <w:szCs w:val="28"/>
        </w:rPr>
        <w:t>康振生院士是我国植物保护领域知名专家，植物病理学科</w:t>
      </w:r>
      <w:r>
        <w:rPr>
          <w:rFonts w:hint="eastAsia"/>
          <w:color w:val="000000"/>
          <w:szCs w:val="28"/>
        </w:rPr>
        <w:t>主要学术</w:t>
      </w:r>
      <w:r>
        <w:rPr>
          <w:color w:val="000000"/>
          <w:szCs w:val="28"/>
        </w:rPr>
        <w:t>带头人，西北农林科技大学植物保护学院教授。2010年~2023年兼任旱区作物逆境生物学国家重点实验室主任。先后担任中国植物病理学会副理事长、中国植物保护学会副理事长、中国植物学会副理事长。康振生院士</w:t>
      </w:r>
      <w:r>
        <w:rPr>
          <w:rFonts w:hint="eastAsia"/>
          <w:color w:val="000000"/>
          <w:szCs w:val="28"/>
        </w:rPr>
        <w:t>长期</w:t>
      </w:r>
      <w:r>
        <w:rPr>
          <w:color w:val="000000"/>
          <w:szCs w:val="28"/>
        </w:rPr>
        <w:t>致力于小麦重大病害绿色高效防控研究，在理论创新、技术突破和社会贡献方面取得卓越成就。破解</w:t>
      </w:r>
      <w:r>
        <w:rPr>
          <w:rFonts w:hint="eastAsia"/>
          <w:color w:val="000000"/>
          <w:szCs w:val="28"/>
        </w:rPr>
        <w:t>小麦条锈菌</w:t>
      </w:r>
      <w:r>
        <w:rPr>
          <w:color w:val="000000"/>
          <w:szCs w:val="28"/>
        </w:rPr>
        <w:t>毒性变异的世界性难题</w:t>
      </w:r>
      <w:r>
        <w:rPr>
          <w:rFonts w:hint="eastAsia"/>
          <w:color w:val="000000"/>
          <w:szCs w:val="28"/>
        </w:rPr>
        <w:t>，发现</w:t>
      </w:r>
      <w:r>
        <w:rPr>
          <w:color w:val="000000"/>
          <w:szCs w:val="28"/>
        </w:rPr>
        <w:t>全球首个小麦感</w:t>
      </w:r>
      <w:r>
        <w:rPr>
          <w:rFonts w:hint="eastAsia"/>
          <w:color w:val="000000"/>
          <w:szCs w:val="28"/>
        </w:rPr>
        <w:t>条锈</w:t>
      </w:r>
      <w:r>
        <w:rPr>
          <w:color w:val="000000"/>
          <w:szCs w:val="28"/>
        </w:rPr>
        <w:t>病基因，</w:t>
      </w:r>
      <w:r>
        <w:rPr>
          <w:rFonts w:hint="eastAsia"/>
          <w:color w:val="000000"/>
          <w:szCs w:val="28"/>
        </w:rPr>
        <w:t>利用</w:t>
      </w:r>
      <w:r>
        <w:rPr>
          <w:color w:val="000000"/>
          <w:szCs w:val="28"/>
        </w:rPr>
        <w:t>基因编辑技术创制了广谱抗病</w:t>
      </w:r>
      <w:r>
        <w:rPr>
          <w:rFonts w:hint="eastAsia"/>
          <w:color w:val="000000"/>
          <w:szCs w:val="28"/>
        </w:rPr>
        <w:t>小麦</w:t>
      </w:r>
      <w:r>
        <w:rPr>
          <w:color w:val="000000"/>
          <w:szCs w:val="28"/>
        </w:rPr>
        <w:t>，</w:t>
      </w:r>
      <w:r>
        <w:rPr>
          <w:rFonts w:hint="eastAsia"/>
          <w:color w:val="000000"/>
          <w:szCs w:val="28"/>
        </w:rPr>
        <w:t>开辟了生物育种新途径，构建</w:t>
      </w:r>
      <w:r>
        <w:rPr>
          <w:color w:val="000000"/>
          <w:szCs w:val="28"/>
        </w:rPr>
        <w:t>的</w:t>
      </w:r>
      <w:r>
        <w:rPr>
          <w:rFonts w:hint="eastAsia"/>
          <w:color w:val="000000"/>
          <w:szCs w:val="28"/>
        </w:rPr>
        <w:t>小麦条锈病、赤霉病防控技术体系推广</w:t>
      </w:r>
      <w:r>
        <w:rPr>
          <w:color w:val="000000"/>
          <w:szCs w:val="28"/>
        </w:rPr>
        <w:t>应用后</w:t>
      </w:r>
      <w:r>
        <w:rPr>
          <w:rFonts w:hint="eastAsia"/>
          <w:color w:val="000000"/>
          <w:szCs w:val="28"/>
        </w:rPr>
        <w:t>每年挽回小麦产量损失100亿公斤，为保障国家粮食安全和</w:t>
      </w:r>
      <w:r>
        <w:rPr>
          <w:color w:val="000000"/>
          <w:szCs w:val="28"/>
        </w:rPr>
        <w:t>食品安全</w:t>
      </w:r>
      <w:r>
        <w:rPr>
          <w:rFonts w:hint="eastAsia"/>
          <w:color w:val="000000"/>
          <w:szCs w:val="28"/>
        </w:rPr>
        <w:t>做出了突出贡献</w:t>
      </w:r>
      <w:r>
        <w:rPr>
          <w:color w:val="000000"/>
          <w:szCs w:val="28"/>
        </w:rPr>
        <w:t>。</w:t>
      </w:r>
    </w:p>
    <w:p w14:paraId="31E06565">
      <w:pPr>
        <w:snapToGrid w:val="0"/>
        <w:spacing w:after="156" w:afterLines="50" w:line="400" w:lineRule="exact"/>
        <w:ind w:firstLine="480" w:firstLineChars="200"/>
        <w:rPr>
          <w:color w:val="000000"/>
          <w:szCs w:val="28"/>
        </w:rPr>
      </w:pPr>
      <w:r>
        <w:rPr>
          <w:color w:val="000000"/>
          <w:szCs w:val="28"/>
        </w:rPr>
        <w:t>本单位前期对提名人进行了综合研判和审查，确认候选人的提名材料真实有效，拟提名康振生院士为2024年度陕西省最高科学技术奖候选人。</w:t>
      </w:r>
    </w:p>
    <w:p w14:paraId="71AB491C">
      <w:pPr>
        <w:pStyle w:val="8"/>
        <w:rPr>
          <w:rFonts w:hint="eastAsia" w:ascii="黑体" w:eastAsia="黑体" w:cs="黑体"/>
          <w:kern w:val="0"/>
          <w:sz w:val="28"/>
          <w:szCs w:val="28"/>
          <w:lang w:val="en-US" w:eastAsia="zh-CN"/>
        </w:rPr>
      </w:pPr>
      <w:r>
        <w:rPr>
          <w:rFonts w:hint="eastAsia" w:ascii="黑体" w:eastAsia="黑体" w:cs="黑体"/>
          <w:kern w:val="0"/>
          <w:sz w:val="28"/>
          <w:szCs w:val="28"/>
        </w:rPr>
        <w:t>三</w:t>
      </w:r>
      <w:r>
        <w:rPr>
          <w:rFonts w:hint="eastAsia" w:ascii="黑体" w:eastAsia="黑体" w:cs="黑体"/>
          <w:kern w:val="0"/>
          <w:sz w:val="28"/>
          <w:szCs w:val="28"/>
          <w:lang w:eastAsia="zh-CN"/>
        </w:rPr>
        <w:t>、</w:t>
      </w:r>
      <w:r>
        <w:rPr>
          <w:rFonts w:hint="eastAsia" w:ascii="黑体" w:eastAsia="黑体" w:cs="黑体"/>
          <w:kern w:val="0"/>
          <w:sz w:val="28"/>
          <w:szCs w:val="28"/>
          <w:lang w:val="en-US" w:eastAsia="zh-CN"/>
        </w:rPr>
        <w:t>候选人工作简历</w:t>
      </w:r>
    </w:p>
    <w:tbl>
      <w:tblPr>
        <w:tblStyle w:val="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2755"/>
        <w:gridCol w:w="3544"/>
        <w:gridCol w:w="2410"/>
      </w:tblGrid>
      <w:tr w14:paraId="1FC56E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2755" w:type="dxa"/>
            <w:vAlign w:val="center"/>
          </w:tcPr>
          <w:p w14:paraId="2FCA4A9B">
            <w:pPr>
              <w:spacing w:line="390" w:lineRule="exact"/>
              <w:jc w:val="center"/>
            </w:pPr>
            <w:r>
              <w:t xml:space="preserve">年  月  至  年  月 </w:t>
            </w:r>
          </w:p>
        </w:tc>
        <w:tc>
          <w:tcPr>
            <w:tcW w:w="3544" w:type="dxa"/>
            <w:vAlign w:val="center"/>
          </w:tcPr>
          <w:p w14:paraId="7DDBFFCF">
            <w:pPr>
              <w:spacing w:line="390" w:lineRule="exact"/>
              <w:jc w:val="center"/>
            </w:pPr>
            <w:r>
              <w:t>工作单位</w:t>
            </w:r>
          </w:p>
        </w:tc>
        <w:tc>
          <w:tcPr>
            <w:tcW w:w="2410" w:type="dxa"/>
            <w:vAlign w:val="center"/>
          </w:tcPr>
          <w:p w14:paraId="59CBDB43">
            <w:pPr>
              <w:spacing w:line="390" w:lineRule="exact"/>
              <w:jc w:val="center"/>
            </w:pPr>
            <w:r>
              <w:t>职称、职务</w:t>
            </w:r>
          </w:p>
        </w:tc>
      </w:tr>
      <w:tr w14:paraId="420389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2755" w:type="dxa"/>
            <w:tcBorders>
              <w:top w:val="single" w:color="auto" w:sz="8" w:space="0"/>
              <w:left w:val="single" w:color="auto" w:sz="8" w:space="0"/>
              <w:bottom w:val="single" w:color="auto" w:sz="4" w:space="0"/>
              <w:right w:val="single" w:color="auto" w:sz="4" w:space="0"/>
            </w:tcBorders>
            <w:shd w:val="clear" w:color="auto" w:fill="auto"/>
            <w:vAlign w:val="center"/>
          </w:tcPr>
          <w:p w14:paraId="168D3C82">
            <w:pPr>
              <w:spacing w:line="390" w:lineRule="exact"/>
              <w:jc w:val="center"/>
              <w:rPr>
                <w:sz w:val="22"/>
              </w:rPr>
            </w:pPr>
            <w:r>
              <w:rPr>
                <w:rFonts w:hint="eastAsia"/>
                <w:sz w:val="22"/>
              </w:rPr>
              <w:t>1985年01月01日 至 1987年03月31日</w:t>
            </w:r>
          </w:p>
        </w:tc>
        <w:tc>
          <w:tcPr>
            <w:tcW w:w="3544" w:type="dxa"/>
            <w:tcBorders>
              <w:top w:val="single" w:color="auto" w:sz="8" w:space="0"/>
              <w:left w:val="single" w:color="auto" w:sz="4" w:space="0"/>
              <w:bottom w:val="single" w:color="auto" w:sz="4" w:space="0"/>
              <w:right w:val="single" w:color="auto" w:sz="4" w:space="0"/>
            </w:tcBorders>
            <w:shd w:val="clear" w:color="auto" w:fill="auto"/>
            <w:vAlign w:val="center"/>
          </w:tcPr>
          <w:p w14:paraId="1D17ACE2">
            <w:pPr>
              <w:spacing w:line="390" w:lineRule="exact"/>
              <w:rPr>
                <w:sz w:val="22"/>
              </w:rPr>
            </w:pPr>
            <w:r>
              <w:rPr>
                <w:rFonts w:hint="eastAsia"/>
                <w:sz w:val="22"/>
              </w:rPr>
              <w:t>西北农学院</w:t>
            </w:r>
          </w:p>
        </w:tc>
        <w:tc>
          <w:tcPr>
            <w:tcW w:w="2410" w:type="dxa"/>
            <w:tcBorders>
              <w:top w:val="single" w:color="auto" w:sz="8" w:space="0"/>
              <w:left w:val="single" w:color="auto" w:sz="4" w:space="0"/>
              <w:bottom w:val="single" w:color="auto" w:sz="4" w:space="0"/>
              <w:right w:val="single" w:color="auto" w:sz="8" w:space="0"/>
            </w:tcBorders>
            <w:shd w:val="clear" w:color="auto" w:fill="auto"/>
            <w:vAlign w:val="center"/>
          </w:tcPr>
          <w:p w14:paraId="4C735AC5">
            <w:pPr>
              <w:spacing w:line="390" w:lineRule="exact"/>
              <w:rPr>
                <w:sz w:val="22"/>
              </w:rPr>
            </w:pPr>
            <w:r>
              <w:rPr>
                <w:rFonts w:hint="eastAsia"/>
                <w:sz w:val="22"/>
              </w:rPr>
              <w:t>助教</w:t>
            </w:r>
          </w:p>
        </w:tc>
      </w:tr>
      <w:tr w14:paraId="198E59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2755" w:type="dxa"/>
            <w:tcBorders>
              <w:top w:val="single" w:color="auto" w:sz="4" w:space="0"/>
              <w:left w:val="single" w:color="auto" w:sz="8" w:space="0"/>
              <w:bottom w:val="single" w:color="auto" w:sz="4" w:space="0"/>
              <w:right w:val="single" w:color="auto" w:sz="4" w:space="0"/>
            </w:tcBorders>
            <w:shd w:val="clear" w:color="auto" w:fill="auto"/>
            <w:vAlign w:val="center"/>
          </w:tcPr>
          <w:p w14:paraId="304766AC">
            <w:pPr>
              <w:spacing w:line="390" w:lineRule="exact"/>
              <w:jc w:val="center"/>
              <w:rPr>
                <w:sz w:val="22"/>
              </w:rPr>
            </w:pPr>
            <w:r>
              <w:rPr>
                <w:rFonts w:hint="eastAsia"/>
                <w:sz w:val="22"/>
              </w:rPr>
              <w:t>1987年04月01日 至 1991年03月31日</w:t>
            </w:r>
          </w:p>
        </w:tc>
        <w:tc>
          <w:tcPr>
            <w:tcW w:w="3544" w:type="dxa"/>
            <w:tcBorders>
              <w:top w:val="single" w:color="auto" w:sz="4" w:space="0"/>
              <w:left w:val="single" w:color="auto" w:sz="4" w:space="0"/>
              <w:bottom w:val="single" w:color="auto" w:sz="4" w:space="0"/>
              <w:right w:val="single" w:color="auto" w:sz="4" w:space="0"/>
            </w:tcBorders>
            <w:shd w:val="clear" w:color="auto" w:fill="auto"/>
            <w:vAlign w:val="center"/>
          </w:tcPr>
          <w:p w14:paraId="052B9788">
            <w:pPr>
              <w:spacing w:line="390" w:lineRule="exact"/>
              <w:rPr>
                <w:sz w:val="22"/>
              </w:rPr>
            </w:pPr>
            <w:r>
              <w:rPr>
                <w:rFonts w:hint="eastAsia"/>
                <w:sz w:val="22"/>
              </w:rPr>
              <w:t>西北农学院</w:t>
            </w:r>
          </w:p>
        </w:tc>
        <w:tc>
          <w:tcPr>
            <w:tcW w:w="2410" w:type="dxa"/>
            <w:tcBorders>
              <w:top w:val="single" w:color="auto" w:sz="4" w:space="0"/>
              <w:left w:val="single" w:color="auto" w:sz="4" w:space="0"/>
              <w:bottom w:val="single" w:color="auto" w:sz="4" w:space="0"/>
              <w:right w:val="single" w:color="auto" w:sz="8" w:space="0"/>
            </w:tcBorders>
            <w:shd w:val="clear" w:color="auto" w:fill="auto"/>
            <w:vAlign w:val="center"/>
          </w:tcPr>
          <w:p w14:paraId="305C0AE8">
            <w:pPr>
              <w:spacing w:line="390" w:lineRule="exact"/>
              <w:rPr>
                <w:sz w:val="22"/>
              </w:rPr>
            </w:pPr>
            <w:r>
              <w:rPr>
                <w:rFonts w:hint="eastAsia"/>
                <w:sz w:val="22"/>
              </w:rPr>
              <w:t>讲师</w:t>
            </w:r>
          </w:p>
        </w:tc>
      </w:tr>
      <w:tr w14:paraId="295BED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2755" w:type="dxa"/>
            <w:tcBorders>
              <w:top w:val="single" w:color="auto" w:sz="4" w:space="0"/>
              <w:left w:val="single" w:color="auto" w:sz="8" w:space="0"/>
              <w:bottom w:val="single" w:color="auto" w:sz="4" w:space="0"/>
              <w:right w:val="single" w:color="auto" w:sz="4" w:space="0"/>
            </w:tcBorders>
            <w:shd w:val="clear" w:color="auto" w:fill="auto"/>
            <w:vAlign w:val="center"/>
          </w:tcPr>
          <w:p w14:paraId="7487503F">
            <w:pPr>
              <w:spacing w:line="390" w:lineRule="exact"/>
              <w:jc w:val="center"/>
              <w:rPr>
                <w:sz w:val="22"/>
              </w:rPr>
            </w:pPr>
            <w:r>
              <w:rPr>
                <w:rFonts w:hint="eastAsia"/>
                <w:sz w:val="22"/>
              </w:rPr>
              <w:t>1988年03月01日 至 1990年01月31日</w:t>
            </w:r>
          </w:p>
        </w:tc>
        <w:tc>
          <w:tcPr>
            <w:tcW w:w="3544" w:type="dxa"/>
            <w:tcBorders>
              <w:top w:val="single" w:color="auto" w:sz="4" w:space="0"/>
              <w:left w:val="single" w:color="auto" w:sz="4" w:space="0"/>
              <w:bottom w:val="single" w:color="auto" w:sz="4" w:space="0"/>
              <w:right w:val="single" w:color="auto" w:sz="4" w:space="0"/>
            </w:tcBorders>
            <w:shd w:val="clear" w:color="auto" w:fill="auto"/>
            <w:vAlign w:val="center"/>
          </w:tcPr>
          <w:p w14:paraId="77CDB0EB">
            <w:pPr>
              <w:spacing w:line="390" w:lineRule="exact"/>
              <w:rPr>
                <w:sz w:val="22"/>
              </w:rPr>
            </w:pPr>
            <w:r>
              <w:rPr>
                <w:rFonts w:hint="eastAsia"/>
                <w:sz w:val="22"/>
              </w:rPr>
              <w:t>加拿大温尼泊农部研究所</w:t>
            </w:r>
          </w:p>
        </w:tc>
        <w:tc>
          <w:tcPr>
            <w:tcW w:w="2410" w:type="dxa"/>
            <w:tcBorders>
              <w:top w:val="single" w:color="auto" w:sz="4" w:space="0"/>
              <w:left w:val="single" w:color="auto" w:sz="4" w:space="0"/>
              <w:bottom w:val="single" w:color="auto" w:sz="4" w:space="0"/>
              <w:right w:val="single" w:color="auto" w:sz="8" w:space="0"/>
            </w:tcBorders>
            <w:shd w:val="clear" w:color="auto" w:fill="auto"/>
            <w:vAlign w:val="center"/>
          </w:tcPr>
          <w:p w14:paraId="6D421FC3">
            <w:pPr>
              <w:spacing w:line="390" w:lineRule="exact"/>
              <w:rPr>
                <w:sz w:val="22"/>
              </w:rPr>
            </w:pPr>
            <w:r>
              <w:rPr>
                <w:rFonts w:hint="eastAsia"/>
                <w:sz w:val="22"/>
              </w:rPr>
              <w:t>访问学者</w:t>
            </w:r>
          </w:p>
        </w:tc>
      </w:tr>
      <w:tr w14:paraId="40D112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2755" w:type="dxa"/>
            <w:tcBorders>
              <w:top w:val="single" w:color="auto" w:sz="4" w:space="0"/>
              <w:left w:val="single" w:color="auto" w:sz="8" w:space="0"/>
              <w:bottom w:val="single" w:color="auto" w:sz="4" w:space="0"/>
              <w:right w:val="single" w:color="auto" w:sz="4" w:space="0"/>
            </w:tcBorders>
            <w:shd w:val="clear" w:color="auto" w:fill="auto"/>
            <w:vAlign w:val="center"/>
          </w:tcPr>
          <w:p w14:paraId="54AAFB9E">
            <w:pPr>
              <w:spacing w:line="390" w:lineRule="exact"/>
              <w:jc w:val="center"/>
              <w:rPr>
                <w:sz w:val="22"/>
              </w:rPr>
            </w:pPr>
            <w:r>
              <w:rPr>
                <w:rFonts w:hint="eastAsia"/>
                <w:sz w:val="22"/>
              </w:rPr>
              <w:t>1991年04月01日 至 1994年11月30日</w:t>
            </w:r>
          </w:p>
        </w:tc>
        <w:tc>
          <w:tcPr>
            <w:tcW w:w="3544" w:type="dxa"/>
            <w:tcBorders>
              <w:top w:val="single" w:color="auto" w:sz="4" w:space="0"/>
              <w:left w:val="single" w:color="auto" w:sz="4" w:space="0"/>
              <w:bottom w:val="single" w:color="auto" w:sz="4" w:space="0"/>
              <w:right w:val="single" w:color="auto" w:sz="4" w:space="0"/>
            </w:tcBorders>
            <w:shd w:val="clear" w:color="auto" w:fill="auto"/>
            <w:vAlign w:val="center"/>
          </w:tcPr>
          <w:p w14:paraId="212708A8">
            <w:pPr>
              <w:spacing w:line="390" w:lineRule="exact"/>
              <w:rPr>
                <w:sz w:val="22"/>
              </w:rPr>
            </w:pPr>
            <w:r>
              <w:rPr>
                <w:rFonts w:hint="eastAsia"/>
                <w:sz w:val="22"/>
              </w:rPr>
              <w:t>西北农业大学</w:t>
            </w:r>
          </w:p>
        </w:tc>
        <w:tc>
          <w:tcPr>
            <w:tcW w:w="2410" w:type="dxa"/>
            <w:tcBorders>
              <w:top w:val="single" w:color="auto" w:sz="4" w:space="0"/>
              <w:left w:val="single" w:color="auto" w:sz="4" w:space="0"/>
              <w:bottom w:val="single" w:color="auto" w:sz="4" w:space="0"/>
              <w:right w:val="single" w:color="auto" w:sz="8" w:space="0"/>
            </w:tcBorders>
            <w:shd w:val="clear" w:color="auto" w:fill="auto"/>
            <w:vAlign w:val="center"/>
          </w:tcPr>
          <w:p w14:paraId="4C5B849C">
            <w:pPr>
              <w:spacing w:line="390" w:lineRule="exact"/>
              <w:rPr>
                <w:sz w:val="22"/>
              </w:rPr>
            </w:pPr>
            <w:r>
              <w:rPr>
                <w:rFonts w:hint="eastAsia"/>
                <w:sz w:val="22"/>
              </w:rPr>
              <w:t>副教授</w:t>
            </w:r>
          </w:p>
        </w:tc>
      </w:tr>
      <w:tr w14:paraId="0A9195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2755" w:type="dxa"/>
            <w:tcBorders>
              <w:top w:val="single" w:color="auto" w:sz="4" w:space="0"/>
              <w:left w:val="single" w:color="auto" w:sz="8" w:space="0"/>
              <w:bottom w:val="single" w:color="auto" w:sz="4" w:space="0"/>
              <w:right w:val="single" w:color="auto" w:sz="4" w:space="0"/>
            </w:tcBorders>
            <w:shd w:val="clear" w:color="auto" w:fill="auto"/>
            <w:vAlign w:val="center"/>
          </w:tcPr>
          <w:p w14:paraId="3CF5E1A8">
            <w:pPr>
              <w:spacing w:line="390" w:lineRule="exact"/>
              <w:jc w:val="center"/>
              <w:rPr>
                <w:sz w:val="22"/>
              </w:rPr>
            </w:pPr>
            <w:r>
              <w:rPr>
                <w:rFonts w:hint="eastAsia"/>
                <w:sz w:val="22"/>
              </w:rPr>
              <w:t>1994年12月01日 至 2024年01月23日</w:t>
            </w:r>
          </w:p>
        </w:tc>
        <w:tc>
          <w:tcPr>
            <w:tcW w:w="3544" w:type="dxa"/>
            <w:tcBorders>
              <w:top w:val="single" w:color="auto" w:sz="4" w:space="0"/>
              <w:left w:val="single" w:color="auto" w:sz="4" w:space="0"/>
              <w:bottom w:val="single" w:color="auto" w:sz="4" w:space="0"/>
              <w:right w:val="single" w:color="auto" w:sz="4" w:space="0"/>
            </w:tcBorders>
            <w:shd w:val="clear" w:color="auto" w:fill="auto"/>
            <w:vAlign w:val="center"/>
          </w:tcPr>
          <w:p w14:paraId="38CA62AB">
            <w:pPr>
              <w:spacing w:line="390" w:lineRule="exact"/>
              <w:rPr>
                <w:sz w:val="22"/>
              </w:rPr>
            </w:pPr>
            <w:r>
              <w:rPr>
                <w:rFonts w:hint="eastAsia"/>
                <w:sz w:val="22"/>
              </w:rPr>
              <w:t xml:space="preserve">西北农业大学（现西北农林科技大学） </w:t>
            </w:r>
          </w:p>
        </w:tc>
        <w:tc>
          <w:tcPr>
            <w:tcW w:w="2410" w:type="dxa"/>
            <w:tcBorders>
              <w:top w:val="single" w:color="auto" w:sz="4" w:space="0"/>
              <w:left w:val="single" w:color="auto" w:sz="4" w:space="0"/>
              <w:bottom w:val="single" w:color="auto" w:sz="4" w:space="0"/>
              <w:right w:val="single" w:color="auto" w:sz="8" w:space="0"/>
            </w:tcBorders>
            <w:shd w:val="clear" w:color="auto" w:fill="auto"/>
            <w:vAlign w:val="center"/>
          </w:tcPr>
          <w:p w14:paraId="2FF96FB1">
            <w:pPr>
              <w:spacing w:line="390" w:lineRule="exact"/>
              <w:rPr>
                <w:sz w:val="22"/>
              </w:rPr>
            </w:pPr>
            <w:r>
              <w:rPr>
                <w:rFonts w:hint="eastAsia"/>
                <w:sz w:val="22"/>
              </w:rPr>
              <w:t>教授</w:t>
            </w:r>
          </w:p>
        </w:tc>
      </w:tr>
      <w:tr w14:paraId="175931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2755" w:type="dxa"/>
            <w:tcBorders>
              <w:top w:val="single" w:color="auto" w:sz="4" w:space="0"/>
              <w:left w:val="single" w:color="auto" w:sz="8" w:space="0"/>
              <w:bottom w:val="single" w:color="auto" w:sz="4" w:space="0"/>
              <w:right w:val="single" w:color="auto" w:sz="4" w:space="0"/>
            </w:tcBorders>
            <w:shd w:val="clear" w:color="auto" w:fill="auto"/>
            <w:vAlign w:val="center"/>
          </w:tcPr>
          <w:p w14:paraId="400AB929">
            <w:pPr>
              <w:spacing w:line="390" w:lineRule="exact"/>
              <w:jc w:val="center"/>
              <w:rPr>
                <w:sz w:val="22"/>
              </w:rPr>
            </w:pPr>
            <w:r>
              <w:rPr>
                <w:rFonts w:hint="eastAsia"/>
                <w:sz w:val="22"/>
              </w:rPr>
              <w:t>1997年03月01日 至 2000年12月31日</w:t>
            </w:r>
          </w:p>
        </w:tc>
        <w:tc>
          <w:tcPr>
            <w:tcW w:w="3544" w:type="dxa"/>
            <w:tcBorders>
              <w:top w:val="single" w:color="auto" w:sz="4" w:space="0"/>
              <w:left w:val="single" w:color="auto" w:sz="4" w:space="0"/>
              <w:bottom w:val="single" w:color="auto" w:sz="4" w:space="0"/>
              <w:right w:val="single" w:color="auto" w:sz="4" w:space="0"/>
            </w:tcBorders>
            <w:shd w:val="clear" w:color="auto" w:fill="auto"/>
            <w:vAlign w:val="center"/>
          </w:tcPr>
          <w:p w14:paraId="6FFC2381">
            <w:pPr>
              <w:spacing w:line="390" w:lineRule="exact"/>
              <w:rPr>
                <w:sz w:val="22"/>
              </w:rPr>
            </w:pPr>
            <w:r>
              <w:rPr>
                <w:rFonts w:hint="eastAsia"/>
                <w:sz w:val="22"/>
              </w:rPr>
              <w:t>德国霍恩海姆大学</w:t>
            </w:r>
          </w:p>
        </w:tc>
        <w:tc>
          <w:tcPr>
            <w:tcW w:w="2410" w:type="dxa"/>
            <w:tcBorders>
              <w:top w:val="single" w:color="auto" w:sz="4" w:space="0"/>
              <w:left w:val="single" w:color="auto" w:sz="4" w:space="0"/>
              <w:bottom w:val="single" w:color="auto" w:sz="4" w:space="0"/>
              <w:right w:val="single" w:color="auto" w:sz="8" w:space="0"/>
            </w:tcBorders>
            <w:shd w:val="clear" w:color="auto" w:fill="auto"/>
            <w:vAlign w:val="center"/>
          </w:tcPr>
          <w:p w14:paraId="3D6301BC">
            <w:pPr>
              <w:spacing w:line="390" w:lineRule="exact"/>
              <w:rPr>
                <w:sz w:val="22"/>
              </w:rPr>
            </w:pPr>
            <w:r>
              <w:rPr>
                <w:rFonts w:hint="eastAsia"/>
                <w:sz w:val="22"/>
              </w:rPr>
              <w:t>高级访问学者</w:t>
            </w:r>
          </w:p>
        </w:tc>
      </w:tr>
      <w:tr w14:paraId="2691A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2755" w:type="dxa"/>
            <w:tcBorders>
              <w:top w:val="single" w:color="auto" w:sz="4" w:space="0"/>
              <w:left w:val="single" w:color="auto" w:sz="8" w:space="0"/>
              <w:bottom w:val="single" w:color="auto" w:sz="4" w:space="0"/>
              <w:right w:val="single" w:color="auto" w:sz="4" w:space="0"/>
            </w:tcBorders>
            <w:shd w:val="clear" w:color="auto" w:fill="auto"/>
            <w:vAlign w:val="center"/>
          </w:tcPr>
          <w:p w14:paraId="5B9F6644">
            <w:pPr>
              <w:spacing w:line="390" w:lineRule="exact"/>
              <w:jc w:val="center"/>
              <w:rPr>
                <w:sz w:val="22"/>
              </w:rPr>
            </w:pPr>
            <w:r>
              <w:rPr>
                <w:rFonts w:hint="eastAsia"/>
                <w:sz w:val="22"/>
              </w:rPr>
              <w:t>2004年05月01日 至 2006年12月31日</w:t>
            </w:r>
          </w:p>
        </w:tc>
        <w:tc>
          <w:tcPr>
            <w:tcW w:w="3544" w:type="dxa"/>
            <w:tcBorders>
              <w:top w:val="single" w:color="auto" w:sz="4" w:space="0"/>
              <w:left w:val="single" w:color="auto" w:sz="4" w:space="0"/>
              <w:bottom w:val="single" w:color="auto" w:sz="4" w:space="0"/>
              <w:right w:val="single" w:color="auto" w:sz="4" w:space="0"/>
            </w:tcBorders>
            <w:shd w:val="clear" w:color="auto" w:fill="auto"/>
            <w:vAlign w:val="center"/>
          </w:tcPr>
          <w:p w14:paraId="6DB1F330">
            <w:pPr>
              <w:spacing w:line="390" w:lineRule="exact"/>
              <w:rPr>
                <w:sz w:val="22"/>
              </w:rPr>
            </w:pPr>
            <w:r>
              <w:rPr>
                <w:rFonts w:hint="eastAsia"/>
                <w:sz w:val="22"/>
              </w:rPr>
              <w:t>西北农林科技大学植物保护学院</w:t>
            </w:r>
          </w:p>
        </w:tc>
        <w:tc>
          <w:tcPr>
            <w:tcW w:w="2410" w:type="dxa"/>
            <w:tcBorders>
              <w:top w:val="single" w:color="auto" w:sz="4" w:space="0"/>
              <w:left w:val="single" w:color="auto" w:sz="4" w:space="0"/>
              <w:bottom w:val="single" w:color="auto" w:sz="4" w:space="0"/>
              <w:right w:val="single" w:color="auto" w:sz="8" w:space="0"/>
            </w:tcBorders>
            <w:shd w:val="clear" w:color="auto" w:fill="auto"/>
            <w:vAlign w:val="center"/>
          </w:tcPr>
          <w:p w14:paraId="3261902A">
            <w:pPr>
              <w:spacing w:line="390" w:lineRule="exact"/>
              <w:rPr>
                <w:sz w:val="22"/>
              </w:rPr>
            </w:pPr>
            <w:r>
              <w:rPr>
                <w:rFonts w:hint="eastAsia"/>
                <w:sz w:val="22"/>
              </w:rPr>
              <w:t>院长</w:t>
            </w:r>
          </w:p>
        </w:tc>
      </w:tr>
      <w:tr w14:paraId="2C661C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94" w:hRule="atLeast"/>
          <w:jc w:val="center"/>
        </w:trPr>
        <w:tc>
          <w:tcPr>
            <w:tcW w:w="2755" w:type="dxa"/>
            <w:tcBorders>
              <w:top w:val="single" w:color="auto" w:sz="4" w:space="0"/>
              <w:left w:val="single" w:color="auto" w:sz="8" w:space="0"/>
              <w:bottom w:val="single" w:color="auto" w:sz="8" w:space="0"/>
              <w:right w:val="single" w:color="auto" w:sz="4" w:space="0"/>
            </w:tcBorders>
            <w:shd w:val="clear" w:color="auto" w:fill="auto"/>
            <w:vAlign w:val="center"/>
          </w:tcPr>
          <w:p w14:paraId="0D34FEC3">
            <w:pPr>
              <w:spacing w:line="390" w:lineRule="exact"/>
              <w:jc w:val="center"/>
              <w:rPr>
                <w:sz w:val="22"/>
              </w:rPr>
            </w:pPr>
            <w:r>
              <w:rPr>
                <w:rFonts w:hint="eastAsia"/>
                <w:sz w:val="22"/>
              </w:rPr>
              <w:t>2011年10月01日 至 2023年12月31日</w:t>
            </w:r>
          </w:p>
        </w:tc>
        <w:tc>
          <w:tcPr>
            <w:tcW w:w="3544" w:type="dxa"/>
            <w:tcBorders>
              <w:top w:val="single" w:color="auto" w:sz="4" w:space="0"/>
              <w:left w:val="single" w:color="auto" w:sz="4" w:space="0"/>
              <w:bottom w:val="single" w:color="auto" w:sz="8" w:space="0"/>
              <w:right w:val="single" w:color="auto" w:sz="4" w:space="0"/>
            </w:tcBorders>
            <w:shd w:val="clear" w:color="auto" w:fill="auto"/>
            <w:vAlign w:val="center"/>
          </w:tcPr>
          <w:p w14:paraId="56E96B2E">
            <w:pPr>
              <w:spacing w:line="390" w:lineRule="exact"/>
              <w:rPr>
                <w:sz w:val="22"/>
              </w:rPr>
            </w:pPr>
            <w:r>
              <w:rPr>
                <w:rFonts w:hint="eastAsia"/>
                <w:sz w:val="22"/>
              </w:rPr>
              <w:t>旱区作物逆境生物学国家重点实验室</w:t>
            </w:r>
          </w:p>
        </w:tc>
        <w:tc>
          <w:tcPr>
            <w:tcW w:w="2410" w:type="dxa"/>
            <w:tcBorders>
              <w:top w:val="single" w:color="auto" w:sz="4" w:space="0"/>
              <w:left w:val="single" w:color="auto" w:sz="4" w:space="0"/>
              <w:bottom w:val="single" w:color="auto" w:sz="8" w:space="0"/>
              <w:right w:val="single" w:color="auto" w:sz="8" w:space="0"/>
            </w:tcBorders>
            <w:shd w:val="clear" w:color="auto" w:fill="auto"/>
            <w:vAlign w:val="center"/>
          </w:tcPr>
          <w:p w14:paraId="518A304B">
            <w:pPr>
              <w:spacing w:line="390" w:lineRule="exact"/>
              <w:rPr>
                <w:sz w:val="22"/>
              </w:rPr>
            </w:pPr>
            <w:r>
              <w:rPr>
                <w:rFonts w:hint="eastAsia"/>
                <w:sz w:val="22"/>
              </w:rPr>
              <w:t>主任</w:t>
            </w:r>
          </w:p>
        </w:tc>
      </w:tr>
    </w:tbl>
    <w:p w14:paraId="43ED178A">
      <w:pPr>
        <w:pStyle w:val="8"/>
      </w:pPr>
      <w:r>
        <w:rPr>
          <w:rFonts w:hint="eastAsia" w:ascii="黑体" w:eastAsia="黑体" w:cs="黑体"/>
          <w:kern w:val="0"/>
          <w:sz w:val="28"/>
          <w:szCs w:val="28"/>
          <w:lang w:val="en-US" w:eastAsia="zh-CN"/>
        </w:rPr>
        <w:t>四</w:t>
      </w:r>
      <w:r>
        <w:rPr>
          <w:rFonts w:hint="eastAsia" w:ascii="黑体" w:eastAsia="黑体" w:cs="黑体"/>
          <w:kern w:val="0"/>
          <w:sz w:val="28"/>
          <w:szCs w:val="28"/>
          <w:lang w:eastAsia="zh-CN"/>
        </w:rPr>
        <w:t>、</w:t>
      </w:r>
      <w:r>
        <w:rPr>
          <w:rFonts w:hint="eastAsia" w:ascii="黑体" w:eastAsia="黑体" w:cs="黑体"/>
          <w:kern w:val="0"/>
          <w:sz w:val="28"/>
          <w:szCs w:val="28"/>
        </w:rPr>
        <w:t>候选人主要科学技术成就和贡献</w:t>
      </w:r>
    </w:p>
    <w:p w14:paraId="140B59AB">
      <w:pPr>
        <w:snapToGrid w:val="0"/>
        <w:spacing w:before="120" w:beforeLines="50" w:after="120" w:afterLines="50" w:line="400" w:lineRule="exact"/>
        <w:ind w:firstLine="480" w:firstLineChars="200"/>
        <w:rPr>
          <w:color w:val="000000"/>
          <w:szCs w:val="28"/>
        </w:rPr>
      </w:pPr>
      <w:r>
        <w:rPr>
          <w:color w:val="000000"/>
          <w:szCs w:val="28"/>
        </w:rPr>
        <w:t>康振生院士是我国植物病理学科主要学术带头人</w:t>
      </w:r>
      <w:r>
        <w:rPr>
          <w:rFonts w:hint="eastAsia"/>
          <w:color w:val="000000"/>
          <w:szCs w:val="28"/>
        </w:rPr>
        <w:t>。</w:t>
      </w:r>
      <w:r>
        <w:rPr>
          <w:color w:val="000000"/>
          <w:szCs w:val="28"/>
        </w:rPr>
        <w:t>40年来，他扎根西北，在作物重大病害成灾机制与防控技术研究方面做出了开创性工作，产出了一批具有学术前沿性和技术先导性成果，攻克了小麦条锈病、赤霉病等重大病害的防控难题，为保障国家粮食安全和食品安全做出了突出贡献。</w:t>
      </w:r>
    </w:p>
    <w:p w14:paraId="61686CC8">
      <w:pPr>
        <w:snapToGrid w:val="0"/>
        <w:spacing w:after="120" w:afterLines="50" w:line="400" w:lineRule="exact"/>
        <w:ind w:firstLine="482" w:firstLineChars="200"/>
        <w:rPr>
          <w:b/>
          <w:color w:val="000000"/>
          <w:szCs w:val="28"/>
        </w:rPr>
      </w:pPr>
      <w:r>
        <w:rPr>
          <w:rFonts w:hint="eastAsia"/>
          <w:b/>
          <w:color w:val="000000"/>
          <w:szCs w:val="28"/>
          <w:lang w:eastAsia="zh-CN"/>
        </w:rPr>
        <w:t>（</w:t>
      </w:r>
      <w:r>
        <w:rPr>
          <w:rFonts w:hint="eastAsia"/>
          <w:b/>
          <w:color w:val="000000"/>
          <w:szCs w:val="28"/>
          <w:lang w:val="en-US" w:eastAsia="zh-CN"/>
        </w:rPr>
        <w:t>一</w:t>
      </w:r>
      <w:r>
        <w:rPr>
          <w:rFonts w:hint="eastAsia"/>
          <w:b/>
          <w:color w:val="000000"/>
          <w:szCs w:val="28"/>
          <w:lang w:eastAsia="zh-CN"/>
        </w:rPr>
        <w:t>）</w:t>
      </w:r>
      <w:r>
        <w:rPr>
          <w:b/>
          <w:color w:val="000000"/>
          <w:szCs w:val="28"/>
        </w:rPr>
        <w:t>探明了我国小麦条锈病发生传播规律，创新性提出了以“治理西北初始菌源基地”为重点的全国条锈病分区防控策略，创建了菌源基地综合治理技术体系，被农业农村部采纳使用，菌源基地有效控制，保障了我国东部主产麦区的生产安全。</w:t>
      </w:r>
    </w:p>
    <w:p w14:paraId="64D034EF">
      <w:pPr>
        <w:snapToGrid w:val="0"/>
        <w:spacing w:after="120" w:afterLines="50" w:line="400" w:lineRule="exact"/>
        <w:ind w:firstLine="480" w:firstLineChars="200"/>
        <w:rPr>
          <w:color w:val="000000"/>
          <w:szCs w:val="28"/>
        </w:rPr>
      </w:pPr>
      <w:r>
        <w:rPr>
          <w:color w:val="000000"/>
          <w:szCs w:val="28"/>
        </w:rPr>
        <w:t>条锈病是小麦毁灭性病害，一般年份可造成10%~30%的产量损失，甚至可致绝收，严重影响我国粮食安全，被农业农村部列为一类农作物病害。针对病害发生致灾规律不明、有效防控技术缺乏，病害易爆发流行的国际难题，他带领团队长期系统开展攻关，取得了如下创新性成果：</w:t>
      </w:r>
    </w:p>
    <w:p w14:paraId="10C1A2B8">
      <w:pPr>
        <w:snapToGrid w:val="0"/>
        <w:spacing w:after="120" w:afterLines="50" w:line="400" w:lineRule="exact"/>
        <w:ind w:firstLine="482" w:firstLineChars="200"/>
        <w:rPr>
          <w:b/>
          <w:color w:val="000000"/>
          <w:szCs w:val="28"/>
        </w:rPr>
      </w:pPr>
      <w:r>
        <w:rPr>
          <w:b/>
          <w:color w:val="000000"/>
          <w:szCs w:val="28"/>
        </w:rPr>
        <w:t>1. 揭示了不同流行区之间的菌源关系，明确了小麦条锈菌传播路线，提出了条锈病</w:t>
      </w:r>
      <w:r>
        <w:rPr>
          <w:rFonts w:ascii="宋体" w:hAnsi="宋体"/>
          <w:b/>
          <w:color w:val="000000"/>
          <w:szCs w:val="28"/>
        </w:rPr>
        <w:t>“</w:t>
      </w:r>
      <w:r>
        <w:rPr>
          <w:b/>
          <w:color w:val="000000"/>
          <w:szCs w:val="28"/>
        </w:rPr>
        <w:t>越夏区-冬季繁殖区-春季流行区</w:t>
      </w:r>
      <w:r>
        <w:rPr>
          <w:rFonts w:ascii="宋体" w:hAnsi="宋体"/>
          <w:b/>
          <w:color w:val="000000"/>
          <w:szCs w:val="28"/>
        </w:rPr>
        <w:t>”</w:t>
      </w:r>
      <w:r>
        <w:rPr>
          <w:b/>
          <w:color w:val="000000"/>
          <w:szCs w:val="28"/>
        </w:rPr>
        <w:t>的大区周年发生规律。</w:t>
      </w:r>
    </w:p>
    <w:p w14:paraId="786480EA">
      <w:pPr>
        <w:snapToGrid w:val="0"/>
        <w:spacing w:after="120" w:afterLines="50" w:line="400" w:lineRule="exact"/>
        <w:ind w:firstLine="480" w:firstLineChars="200"/>
        <w:rPr>
          <w:color w:val="000000"/>
          <w:szCs w:val="28"/>
        </w:rPr>
      </w:pPr>
      <w:r>
        <w:rPr>
          <w:color w:val="000000"/>
          <w:szCs w:val="28"/>
        </w:rPr>
        <w:t>基于病害发生时序，病菌毒性和遗传关系，结合气流轨迹分析等，将我国小麦条锈病发生流行区域划分为越夏区、冬季繁殖区和春季流行区三大区域。陇南、川西北等越夏区是秋季初始菌源基地，四川盆地、陕南、鄂西北等冬季繁殖区是春季菌源基地，黄淮海、长江中下游等是春季流行区；发现越夏区每年为我国东部主产麦区提供发病的初始菌源，是小麦条锈病发生流行的关键区域，每年条锈菌借助高空气流从越夏区传播至冬季繁殖区，逐渐向广大的黄淮海麦区传播，引起全国病害大流行，探明了我国条锈病大区传播路径与规律，从而确定了我国条锈病防治的关键区域。</w:t>
      </w:r>
    </w:p>
    <w:p w14:paraId="4742C69A">
      <w:pPr>
        <w:snapToGrid w:val="0"/>
        <w:spacing w:after="120" w:afterLines="50" w:line="400" w:lineRule="exact"/>
        <w:ind w:firstLine="482" w:firstLineChars="200"/>
        <w:rPr>
          <w:b/>
          <w:color w:val="000000"/>
          <w:szCs w:val="28"/>
        </w:rPr>
      </w:pPr>
      <w:r>
        <w:rPr>
          <w:b/>
          <w:color w:val="000000"/>
          <w:szCs w:val="28"/>
        </w:rPr>
        <w:t>2. 制定了小麦条锈病分区治理策略，创建了以</w:t>
      </w:r>
      <w:r>
        <w:rPr>
          <w:rFonts w:ascii="宋体" w:hAnsi="宋体"/>
          <w:b/>
          <w:color w:val="000000"/>
          <w:szCs w:val="28"/>
        </w:rPr>
        <w:t>“减少初始菌源量”为</w:t>
      </w:r>
      <w:r>
        <w:rPr>
          <w:b/>
          <w:color w:val="000000"/>
          <w:szCs w:val="28"/>
        </w:rPr>
        <w:t>目标的初始菌源基地综合治理技术方案，防病增效果显著。</w:t>
      </w:r>
    </w:p>
    <w:p w14:paraId="77256476">
      <w:pPr>
        <w:snapToGrid w:val="0"/>
        <w:spacing w:after="120" w:afterLines="50" w:line="400" w:lineRule="exact"/>
        <w:ind w:firstLine="480" w:firstLineChars="200"/>
        <w:rPr>
          <w:b/>
          <w:color w:val="000000"/>
          <w:szCs w:val="28"/>
        </w:rPr>
      </w:pPr>
      <w:r>
        <w:rPr>
          <w:color w:val="000000"/>
          <w:szCs w:val="28"/>
        </w:rPr>
        <w:t>根据病害发生传播规律，制定了分区治理策略。研发出条锈病早期分子诊断技术，比传统方法提早14天发现病害；建立了条锈病异地测报技术系统，可提早预测全国条锈病发生趋势，病害预报准确率达90%以上；创建了越夏区通过调整种植结构，提高秋播药剂拌种比例，铲除或耕翻降低自生麦苗数量等技术措施，降低初始菌源量。冬季繁殖区，通过加强早期诊断和监测，及时发现和控制传入菌源，开展秋冬季和早春重点区域药剂防控，减少当地发病面积，降低外传菌源数量。技术体系大面积应用，平均防病效果90%以上，使越夏区初始菌源量减少40%，明显减轻了东部主产麦区条锈病流行频率与危害程度，对全国条锈病有效控制发挥了关键作用。获2006年陕西省科技进步一等奖、2012年国家科技进步一等奖。</w:t>
      </w:r>
    </w:p>
    <w:p w14:paraId="0414A2FC">
      <w:pPr>
        <w:snapToGrid w:val="0"/>
        <w:spacing w:after="120" w:afterLines="50" w:line="400" w:lineRule="exact"/>
        <w:ind w:firstLine="482" w:firstLineChars="200"/>
        <w:rPr>
          <w:b/>
          <w:color w:val="000000"/>
          <w:szCs w:val="28"/>
        </w:rPr>
      </w:pPr>
      <w:r>
        <w:rPr>
          <w:rFonts w:hint="eastAsia"/>
          <w:b/>
          <w:color w:val="000000"/>
          <w:szCs w:val="28"/>
          <w:lang w:eastAsia="zh-CN"/>
        </w:rPr>
        <w:t>（</w:t>
      </w:r>
      <w:r>
        <w:rPr>
          <w:rFonts w:hint="eastAsia"/>
          <w:b/>
          <w:color w:val="000000"/>
          <w:szCs w:val="28"/>
          <w:lang w:val="en-US" w:eastAsia="zh-CN"/>
        </w:rPr>
        <w:t>二</w:t>
      </w:r>
      <w:r>
        <w:rPr>
          <w:rFonts w:hint="eastAsia"/>
          <w:b/>
          <w:color w:val="000000"/>
          <w:szCs w:val="28"/>
          <w:lang w:eastAsia="zh-CN"/>
        </w:rPr>
        <w:t>）</w:t>
      </w:r>
      <w:r>
        <w:rPr>
          <w:b/>
          <w:color w:val="000000"/>
          <w:szCs w:val="28"/>
        </w:rPr>
        <w:t>率先发现了自然条件下条锈菌的有性生殖，完善了病菌生活史和病害循环，攻克了植物病理学世纪难题。明确了条锈菌毒性变异途径与机理，研发出有性菌源控制技术，创建了全国小麦条锈病跨区域全周期绿色防控技术方案，有效控制了病害危害，保障了粮食安全。</w:t>
      </w:r>
    </w:p>
    <w:p w14:paraId="39E2BF72">
      <w:pPr>
        <w:snapToGrid w:val="0"/>
        <w:spacing w:after="120" w:afterLines="50" w:line="400" w:lineRule="exact"/>
        <w:ind w:firstLine="480" w:firstLineChars="200"/>
        <w:rPr>
          <w:color w:val="000000"/>
          <w:szCs w:val="28"/>
        </w:rPr>
      </w:pPr>
      <w:r>
        <w:rPr>
          <w:color w:val="000000"/>
          <w:szCs w:val="28"/>
        </w:rPr>
        <w:t>针对病菌频繁变异导致小麦品种抗病性不断丧失，病害频繁流行成灾的国际难题，他创新思路，破解了我国越夏区新菌系频繁产生之谜。</w:t>
      </w:r>
    </w:p>
    <w:p w14:paraId="55B97AAF">
      <w:pPr>
        <w:snapToGrid w:val="0"/>
        <w:spacing w:after="120" w:afterLines="50" w:line="400" w:lineRule="exact"/>
        <w:ind w:firstLine="480" w:firstLineChars="200"/>
        <w:rPr>
          <w:b/>
          <w:color w:val="000000"/>
          <w:szCs w:val="28"/>
        </w:rPr>
      </w:pPr>
      <w:r>
        <w:rPr>
          <w:color w:val="000000"/>
          <w:szCs w:val="28"/>
        </w:rPr>
        <w:t xml:space="preserve">1. </w:t>
      </w:r>
      <w:r>
        <w:rPr>
          <w:b/>
          <w:bCs/>
          <w:color w:val="000000"/>
          <w:szCs w:val="28"/>
        </w:rPr>
        <w:t>发现了条锈菌新菌系产生核心地带，明确了病菌变异途径，研究成果被写进教科书，</w:t>
      </w:r>
      <w:r>
        <w:rPr>
          <w:b/>
          <w:color w:val="000000"/>
          <w:szCs w:val="28"/>
        </w:rPr>
        <w:t>被誉为锈菌研究史上的里程碑，并</w:t>
      </w:r>
      <w:r>
        <w:rPr>
          <w:b/>
          <w:bCs/>
          <w:color w:val="000000"/>
          <w:szCs w:val="28"/>
        </w:rPr>
        <w:t>为小麦条锈病防控提供新思路与关键技术。</w:t>
      </w:r>
    </w:p>
    <w:p w14:paraId="25E43AC7">
      <w:pPr>
        <w:snapToGrid w:val="0"/>
        <w:spacing w:after="120" w:afterLines="50" w:line="400" w:lineRule="exact"/>
        <w:ind w:firstLine="480" w:firstLineChars="200"/>
        <w:rPr>
          <w:color w:val="000000"/>
          <w:szCs w:val="28"/>
        </w:rPr>
      </w:pPr>
      <w:r>
        <w:rPr>
          <w:color w:val="000000"/>
          <w:szCs w:val="28"/>
        </w:rPr>
        <w:t>率先发现了条锈菌在自然条件下可在灌木小檗上完成有性生殖，是条锈菌新菌系产生的主要途径，完善了条锈菌生活史和病害循环，纠正了教科书</w:t>
      </w:r>
      <w:r>
        <w:rPr>
          <w:rFonts w:ascii="宋体" w:hAnsi="宋体"/>
          <w:color w:val="000000"/>
          <w:szCs w:val="28"/>
        </w:rPr>
        <w:t>中“条锈菌缺乏有性生殖”</w:t>
      </w:r>
      <w:r>
        <w:rPr>
          <w:color w:val="000000"/>
          <w:szCs w:val="28"/>
        </w:rPr>
        <w:t>的观点；揭示了条锈菌复杂的遗传变异规律，明确了转主寄主小檗的广泛分布与有性生殖的常年发生是越夏区新菌系产生的根本原因，破解了我国越夏区是病菌新毒性小种策源地之谜，为新防控策略的制定和防治技术的研发，进而科学有效指导病害防控提供了依据。</w:t>
      </w:r>
    </w:p>
    <w:p w14:paraId="24549134">
      <w:pPr>
        <w:snapToGrid w:val="0"/>
        <w:spacing w:after="120" w:afterLines="50" w:line="400" w:lineRule="exact"/>
        <w:ind w:firstLine="482" w:firstLineChars="200"/>
        <w:rPr>
          <w:b/>
          <w:color w:val="000000"/>
          <w:szCs w:val="28"/>
        </w:rPr>
      </w:pPr>
      <w:r>
        <w:rPr>
          <w:b/>
          <w:color w:val="000000"/>
          <w:szCs w:val="28"/>
        </w:rPr>
        <w:t>2. 提出了</w:t>
      </w:r>
      <w:bookmarkStart w:id="0" w:name="OLE_LINK3"/>
      <w:r>
        <w:rPr>
          <w:rFonts w:ascii="宋体" w:hAnsi="宋体"/>
          <w:b/>
          <w:color w:val="000000"/>
          <w:szCs w:val="28"/>
        </w:rPr>
        <w:t>“</w:t>
      </w:r>
      <w:bookmarkEnd w:id="0"/>
      <w:r>
        <w:rPr>
          <w:rFonts w:ascii="宋体" w:hAnsi="宋体"/>
          <w:b/>
          <w:color w:val="000000"/>
          <w:szCs w:val="28"/>
        </w:rPr>
        <w:t>长短结合、标本兼治、分区治理、综合防治</w:t>
      </w:r>
      <w:bookmarkStart w:id="1" w:name="OLE_LINK4"/>
      <w:r>
        <w:rPr>
          <w:rFonts w:ascii="宋体" w:hAnsi="宋体"/>
          <w:b/>
          <w:color w:val="000000"/>
          <w:szCs w:val="28"/>
        </w:rPr>
        <w:t>”</w:t>
      </w:r>
      <w:bookmarkEnd w:id="1"/>
      <w:r>
        <w:rPr>
          <w:rFonts w:ascii="宋体" w:hAnsi="宋体"/>
          <w:b/>
          <w:color w:val="000000"/>
          <w:szCs w:val="28"/>
        </w:rPr>
        <w:t>条锈病防控新策略，研发了“降、延、阻”全程绿色防控技术，创新集成了全国</w:t>
      </w:r>
      <w:r>
        <w:rPr>
          <w:b/>
          <w:color w:val="000000"/>
          <w:szCs w:val="28"/>
        </w:rPr>
        <w:t>小麦条锈病防控技术方案，有效控制了我国条锈病流行危害。</w:t>
      </w:r>
    </w:p>
    <w:p w14:paraId="6E94905A">
      <w:pPr>
        <w:snapToGrid w:val="0"/>
        <w:spacing w:after="120" w:afterLines="50" w:line="400" w:lineRule="exact"/>
        <w:ind w:firstLine="480" w:firstLineChars="200"/>
        <w:rPr>
          <w:color w:val="000000"/>
          <w:szCs w:val="28"/>
        </w:rPr>
      </w:pPr>
      <w:r>
        <w:rPr>
          <w:color w:val="000000"/>
          <w:szCs w:val="28"/>
        </w:rPr>
        <w:t>基于条锈菌有性生殖发现，研发了阻</w:t>
      </w:r>
      <w:r>
        <w:rPr>
          <w:rFonts w:ascii="宋体" w:hAnsi="宋体"/>
          <w:color w:val="000000"/>
          <w:szCs w:val="28"/>
        </w:rPr>
        <w:t>断“冬孢子源+锈孢子源”</w:t>
      </w:r>
      <w:r>
        <w:rPr>
          <w:color w:val="000000"/>
          <w:szCs w:val="28"/>
        </w:rPr>
        <w:t>的有性菌源控制技术，延缓病菌毒性变异频率，延长品种使用年限；在完善病菌传播路径和弄清全国不同流行区主栽品种携带抗病基因的基础上，制定了不同流行区抗病基因布局方案，形成大区间生物屏障，切断病原菌跨区域传播。集</w:t>
      </w:r>
      <w:r>
        <w:rPr>
          <w:rFonts w:ascii="宋体" w:hAnsi="宋体"/>
          <w:color w:val="000000"/>
          <w:szCs w:val="28"/>
        </w:rPr>
        <w:t>成了“降、延、阻”全程绿</w:t>
      </w:r>
      <w:r>
        <w:rPr>
          <w:color w:val="000000"/>
          <w:szCs w:val="28"/>
        </w:rPr>
        <w:t>色防控技术，即降低菌源地菌源量，延缓病菌毒性变异，阻遏病菌跨区域传播。新技术实施后，新小种出现频率降低50%，抗病品种使用年限延长3-5年，获2017年陕西省科技进步一等奖。</w:t>
      </w:r>
    </w:p>
    <w:p w14:paraId="5223ED2D">
      <w:pPr>
        <w:snapToGrid w:val="0"/>
        <w:spacing w:after="120" w:afterLines="50" w:line="400" w:lineRule="exact"/>
        <w:ind w:firstLine="480" w:firstLineChars="200"/>
        <w:rPr>
          <w:color w:val="000000"/>
          <w:szCs w:val="28"/>
        </w:rPr>
      </w:pPr>
      <w:r>
        <w:rPr>
          <w:color w:val="000000"/>
          <w:szCs w:val="28"/>
        </w:rPr>
        <w:t>基于全过程病害管控理念，制定了小麦条锈病跨区域全周期绿色防控技术方案，依托全国植保系统在全国开展多层次大范围技术培训，点上试验示范与面上技术推广相结合，促进了技术的快速推广普及。在2020年和2021年全国条锈病连续大流行的背景下，全国小麦条锈病得到有效控制。全国发病面积减少5000万亩，减少粮食损失100亿斤，减少农药用量20%以上，经济、社会和生态效益提升显著，2023年入选农业农村部农业主推技术。</w:t>
      </w:r>
    </w:p>
    <w:p w14:paraId="592A3FC4">
      <w:pPr>
        <w:snapToGrid w:val="0"/>
        <w:spacing w:after="120" w:afterLines="50" w:line="400" w:lineRule="exact"/>
        <w:ind w:firstLine="482" w:firstLineChars="200"/>
        <w:rPr>
          <w:b/>
          <w:color w:val="000000"/>
          <w:szCs w:val="28"/>
        </w:rPr>
      </w:pPr>
      <w:r>
        <w:rPr>
          <w:rFonts w:hint="eastAsia"/>
          <w:b/>
          <w:color w:val="000000"/>
          <w:szCs w:val="28"/>
          <w:lang w:eastAsia="zh-CN"/>
        </w:rPr>
        <w:t>（</w:t>
      </w:r>
      <w:r>
        <w:rPr>
          <w:rFonts w:hint="eastAsia"/>
          <w:b/>
          <w:color w:val="000000"/>
          <w:szCs w:val="28"/>
          <w:lang w:val="en-US" w:eastAsia="zh-CN"/>
        </w:rPr>
        <w:t>三</w:t>
      </w:r>
      <w:r>
        <w:rPr>
          <w:rFonts w:hint="eastAsia"/>
          <w:b/>
          <w:color w:val="000000"/>
          <w:szCs w:val="28"/>
          <w:lang w:eastAsia="zh-CN"/>
        </w:rPr>
        <w:t>）</w:t>
      </w:r>
      <w:r>
        <w:rPr>
          <w:b/>
          <w:color w:val="000000"/>
          <w:szCs w:val="28"/>
        </w:rPr>
        <w:t>揭示了条锈菌活体营养寄生的致病本质，发现了全球首个被病菌操纵的小麦感病基因，引领全球锈病研究。利用RNA干扰、基因编辑等新技术阻止病菌操纵寄主小麦，创制了广谱抗病新材料，开辟了作物生物育种新途径。</w:t>
      </w:r>
    </w:p>
    <w:p w14:paraId="420E0C80">
      <w:pPr>
        <w:snapToGrid w:val="0"/>
        <w:spacing w:after="120" w:afterLines="50" w:line="400" w:lineRule="exact"/>
        <w:ind w:firstLine="480" w:firstLineChars="200"/>
        <w:rPr>
          <w:color w:val="000000"/>
          <w:szCs w:val="28"/>
        </w:rPr>
      </w:pPr>
      <w:r>
        <w:rPr>
          <w:rFonts w:hint="eastAsia"/>
          <w:color w:val="000000"/>
          <w:szCs w:val="28"/>
        </w:rPr>
        <w:t>近5年来</w:t>
      </w:r>
      <w:r>
        <w:rPr>
          <w:color w:val="000000"/>
          <w:szCs w:val="28"/>
        </w:rPr>
        <w:t>，他围绕作物病害绿色可持续发展的国家战略需求，带领团队创新策略，改变利用抗病基因育种的传统思路，依据条锈菌侵染致病的特性，通过新技术阻止病菌操纵寄主，创制了新型广谱抗条锈病材料，实现了种业原始自主创新能力的跨越式突破。</w:t>
      </w:r>
    </w:p>
    <w:p w14:paraId="67EBB7B2">
      <w:pPr>
        <w:snapToGrid w:val="0"/>
        <w:spacing w:after="120" w:afterLines="50" w:line="400" w:lineRule="exact"/>
        <w:ind w:firstLine="482" w:firstLineChars="200"/>
        <w:rPr>
          <w:b/>
          <w:color w:val="000000"/>
          <w:szCs w:val="28"/>
        </w:rPr>
      </w:pPr>
      <w:r>
        <w:rPr>
          <w:b/>
          <w:color w:val="000000"/>
          <w:szCs w:val="28"/>
        </w:rPr>
        <w:t>1. 揭示了小麦条锈菌活体营养寄生的组学特征，发掘病菌关键效应蛋白，揭示其促进致病的多元化调控机制，丰富了植物免疫理论，深化了对活体营养寄生真菌致病理论的认知。</w:t>
      </w:r>
    </w:p>
    <w:p w14:paraId="5952179B">
      <w:pPr>
        <w:snapToGrid w:val="0"/>
        <w:spacing w:after="120" w:afterLines="50" w:line="400" w:lineRule="exact"/>
        <w:ind w:firstLine="480" w:firstLineChars="200"/>
        <w:rPr>
          <w:color w:val="000000"/>
          <w:szCs w:val="28"/>
        </w:rPr>
      </w:pPr>
      <w:r>
        <w:rPr>
          <w:color w:val="000000"/>
          <w:szCs w:val="28"/>
        </w:rPr>
        <w:t>率先高质量组装了小麦条锈菌基因组，揭示了病菌活体营养的分子基础；系统鉴定了条锈菌效应蛋白，揭示其在寄主不同细胞空间抑制寄主免疫促进病菌致病的多元化调控机制，揭示了质外体效应蛋白修饰细胞壁逃避寄主识别的致病机制，提出了细胞质效应蛋白靶向叶绿体平衡寄主免疫与营养吸收的新观点，发现了细胞核效应蛋白靶向寄主pre-mRNA，调控寄主可变剪接，重塑寄主基因表达，破坏寄主免疫的新机制。研究加深了对小麦与活体营养寄生真菌互作的认知，并为小麦条锈病遗传改良提供基因资源和技术支撑。相关成果获2023年陕西省自然科学一等奖和2024年度陕西高等学校科学技术研究优秀成果奖特等奖。</w:t>
      </w:r>
    </w:p>
    <w:p w14:paraId="19B881DE">
      <w:pPr>
        <w:snapToGrid w:val="0"/>
        <w:spacing w:after="120" w:afterLines="50" w:line="400" w:lineRule="exact"/>
        <w:ind w:firstLine="482" w:firstLineChars="200"/>
        <w:rPr>
          <w:b/>
          <w:color w:val="000000"/>
          <w:szCs w:val="28"/>
        </w:rPr>
      </w:pPr>
      <w:r>
        <w:rPr>
          <w:b/>
          <w:color w:val="000000"/>
          <w:szCs w:val="28"/>
        </w:rPr>
        <w:t>2. 鉴定到全球首个小麦感</w:t>
      </w:r>
      <w:r>
        <w:rPr>
          <w:rFonts w:hint="eastAsia"/>
          <w:b/>
          <w:color w:val="000000"/>
          <w:szCs w:val="28"/>
        </w:rPr>
        <w:t>条锈</w:t>
      </w:r>
      <w:r>
        <w:rPr>
          <w:b/>
          <w:color w:val="000000"/>
          <w:szCs w:val="28"/>
        </w:rPr>
        <w:t>病基因，揭示了其介导的小麦感条锈病机制，研究成果在国际顶级期刊Cell发表。</w:t>
      </w:r>
    </w:p>
    <w:p w14:paraId="531FF69A">
      <w:pPr>
        <w:snapToGrid w:val="0"/>
        <w:spacing w:after="120" w:afterLines="50" w:line="400" w:lineRule="exact"/>
        <w:ind w:firstLine="480" w:firstLineChars="200"/>
        <w:rPr>
          <w:color w:val="000000"/>
          <w:szCs w:val="28"/>
        </w:rPr>
      </w:pPr>
      <w:r>
        <w:rPr>
          <w:color w:val="000000"/>
          <w:szCs w:val="28"/>
        </w:rPr>
        <w:t>大规模鉴定获得受体样胞质激酶TaPsIPK1负调控小麦基础免疫基因。TaPsIPK1被条锈菌分泌的毒性效应蛋白PsSpg1操纵，进入细胞核磷酸化转录因子TaCBF1，改变其转录调控活性，重新编程靶基因表达，促进病原菌致病，首次揭示了由小麦条锈病感病基因介导的PsSpg1-TaPsIPK1-TaCBF1d磷酸化转录调控机制。利用CRISPR-Cas9编辑TaPsIPK1，阻止其被PsSpg1利用，创制了对条锈病具有广谱抗性且不影响主要农艺性状的新材料。该研究打破了主要利用抗病基因育种的传统思路，丰富了抗病育种可利用的基因类型，开辟了生物育种新途径，为我国现代生物育种和病害绿色防控提供了科技支撑。研究成果2022年发表在</w:t>
      </w:r>
      <w:r>
        <w:rPr>
          <w:rFonts w:hint="eastAsia"/>
          <w:color w:val="000000"/>
          <w:szCs w:val="28"/>
        </w:rPr>
        <w:t>国际</w:t>
      </w:r>
      <w:r>
        <w:rPr>
          <w:color w:val="000000"/>
          <w:szCs w:val="28"/>
        </w:rPr>
        <w:t>顶</w:t>
      </w:r>
      <w:r>
        <w:rPr>
          <w:rFonts w:hint="eastAsia"/>
          <w:color w:val="000000"/>
          <w:szCs w:val="28"/>
        </w:rPr>
        <w:t>级</w:t>
      </w:r>
      <w:r>
        <w:rPr>
          <w:color w:val="000000"/>
          <w:szCs w:val="28"/>
        </w:rPr>
        <w:t>期刊Cell</w:t>
      </w:r>
      <w:r>
        <w:rPr>
          <w:rFonts w:hint="eastAsia"/>
          <w:color w:val="000000"/>
          <w:szCs w:val="28"/>
        </w:rPr>
        <w:t>上</w:t>
      </w:r>
      <w:r>
        <w:rPr>
          <w:color w:val="000000"/>
          <w:szCs w:val="28"/>
        </w:rPr>
        <w:t>，入选2023年中国农业科学十大进展。</w:t>
      </w:r>
    </w:p>
    <w:p w14:paraId="6CF1CD9D">
      <w:pPr>
        <w:snapToGrid w:val="0"/>
        <w:spacing w:after="120" w:afterLines="50" w:line="400" w:lineRule="exact"/>
        <w:ind w:firstLine="482" w:firstLineChars="200"/>
        <w:rPr>
          <w:b/>
          <w:color w:val="000000"/>
          <w:szCs w:val="28"/>
        </w:rPr>
      </w:pPr>
      <w:r>
        <w:rPr>
          <w:b/>
          <w:color w:val="000000"/>
          <w:szCs w:val="28"/>
        </w:rPr>
        <w:t>3. 利用RNA干扰、基因编辑等技术修饰病菌和寄主关键基因，创制了广谱抗病材料，开辟了小麦抗病遗传改良新途径，为小麦抗病育种提供了核心基因与技术支撑。</w:t>
      </w:r>
    </w:p>
    <w:p w14:paraId="4BA29C3D">
      <w:pPr>
        <w:snapToGrid w:val="0"/>
        <w:spacing w:after="120" w:afterLines="50" w:line="400" w:lineRule="exact"/>
        <w:ind w:firstLine="480" w:firstLineChars="200"/>
        <w:rPr>
          <w:color w:val="000000"/>
          <w:szCs w:val="28"/>
        </w:rPr>
      </w:pPr>
      <w:r>
        <w:rPr>
          <w:color w:val="000000"/>
          <w:szCs w:val="28"/>
        </w:rPr>
        <w:t>建立了高通量基因功能分析平台，大规模筛选出重要的调控基因14个，在深入解析机理的基础上，通过RNA干扰沉默条锈菌效应蛋白基因、营养吸收基因，编辑被病菌利用的寄主感病基因，阻止病原菌操纵寄主免疫，阻断营养吸收，打破寄主与病菌互作，创制了</w:t>
      </w:r>
      <w:r>
        <w:rPr>
          <w:rFonts w:hint="eastAsia"/>
          <w:color w:val="000000"/>
          <w:szCs w:val="28"/>
        </w:rPr>
        <w:t>兼具优良</w:t>
      </w:r>
      <w:r>
        <w:rPr>
          <w:color w:val="000000"/>
          <w:szCs w:val="28"/>
        </w:rPr>
        <w:t>农艺性状的广谱抗病材料14份，可用于分子设计育种。其中，对感病基因的鉴定与利用，陈剑平院士和许为钢院士评论兼具理论突破性和生产应用价值，是实现种源自主可控，提升种业原始自主创新能力的跨越性突破。主持主办国际国内学术会议22次，在国际学术会议作特邀报告18次，其中作为唯一中国专家3次在全球麦类锈病会议（BGRI）上作特邀报告，奠定了我国在锈病研究领域的国际领先地位。</w:t>
      </w:r>
    </w:p>
    <w:p w14:paraId="02100440">
      <w:pPr>
        <w:snapToGrid w:val="0"/>
        <w:spacing w:after="120" w:afterLines="50" w:line="400" w:lineRule="exact"/>
        <w:ind w:firstLine="482" w:firstLineChars="200"/>
        <w:rPr>
          <w:b/>
          <w:color w:val="000000"/>
          <w:szCs w:val="28"/>
        </w:rPr>
      </w:pPr>
      <w:r>
        <w:rPr>
          <w:rFonts w:hint="eastAsia"/>
          <w:b/>
          <w:color w:val="000000"/>
          <w:szCs w:val="28"/>
          <w:lang w:eastAsia="zh-CN"/>
        </w:rPr>
        <w:t>（</w:t>
      </w:r>
      <w:r>
        <w:rPr>
          <w:rFonts w:hint="eastAsia"/>
          <w:b/>
          <w:color w:val="000000"/>
          <w:szCs w:val="28"/>
          <w:lang w:val="en-US" w:eastAsia="zh-CN"/>
        </w:rPr>
        <w:t>四</w:t>
      </w:r>
      <w:r>
        <w:rPr>
          <w:rFonts w:hint="eastAsia"/>
          <w:b/>
          <w:color w:val="000000"/>
          <w:szCs w:val="28"/>
          <w:lang w:eastAsia="zh-CN"/>
        </w:rPr>
        <w:t>）</w:t>
      </w:r>
      <w:r>
        <w:rPr>
          <w:b/>
          <w:color w:val="000000"/>
          <w:szCs w:val="28"/>
        </w:rPr>
        <w:t>揭示了小麦赤霉菌侵染途径与致病机理，纠正了百年来年对病菌侵染途径的错误认识。明确了赤霉病防治的关键时期，构建了赤霉病综合防治技术体系，为赤霉病有效防控提供了科学依据与技术支撑。</w:t>
      </w:r>
    </w:p>
    <w:p w14:paraId="44711900">
      <w:pPr>
        <w:snapToGrid w:val="0"/>
        <w:spacing w:after="120" w:afterLines="50" w:line="400" w:lineRule="exact"/>
        <w:ind w:firstLine="480" w:firstLineChars="200"/>
        <w:rPr>
          <w:color w:val="000000"/>
          <w:szCs w:val="28"/>
        </w:rPr>
      </w:pPr>
      <w:r>
        <w:rPr>
          <w:color w:val="000000"/>
          <w:szCs w:val="28"/>
        </w:rPr>
        <w:t>由镰刀菌侵染小麦穗部引致的赤霉病，不仅造成小麦严重减产、品质降低，而且受害小麦籽粒含真菌毒素，严重威胁我国粮食安全和食品安全。随着气候和栽培制度的变化，赤霉病已成为我国小麦生产上最严重的病害之一。由于病菌侵染途径不清，施药时期不准，长期依赖单一杀菌剂，病菌产生抗药性，防治效果不佳，小麦赤霉病长期难以得到有效防治。围绕上述问题，进行了开创性系统研究，取得了突破性成果，解决了小麦赤霉病防治难题。</w:t>
      </w:r>
    </w:p>
    <w:p w14:paraId="5FFD3200">
      <w:pPr>
        <w:snapToGrid w:val="0"/>
        <w:spacing w:after="120" w:afterLines="50" w:line="400" w:lineRule="exact"/>
        <w:ind w:firstLine="482" w:firstLineChars="200"/>
        <w:rPr>
          <w:b/>
          <w:bCs/>
          <w:color w:val="000000"/>
          <w:szCs w:val="28"/>
        </w:rPr>
      </w:pPr>
      <w:r>
        <w:rPr>
          <w:b/>
          <w:color w:val="000000"/>
          <w:szCs w:val="28"/>
        </w:rPr>
        <w:t xml:space="preserve">1. </w:t>
      </w:r>
      <w:r>
        <w:rPr>
          <w:b/>
          <w:bCs/>
          <w:color w:val="000000"/>
          <w:szCs w:val="28"/>
        </w:rPr>
        <w:t>发现了病菌入侵穗部的关键时期和准确位点，明确了小麦赤霉病防治关键时期。</w:t>
      </w:r>
    </w:p>
    <w:p w14:paraId="66613E16">
      <w:pPr>
        <w:snapToGrid w:val="0"/>
        <w:spacing w:after="120" w:afterLines="50" w:line="400" w:lineRule="exact"/>
        <w:ind w:firstLine="480" w:firstLineChars="200"/>
        <w:rPr>
          <w:color w:val="000000"/>
          <w:szCs w:val="28"/>
        </w:rPr>
      </w:pPr>
      <w:r>
        <w:rPr>
          <w:bCs/>
          <w:color w:val="000000"/>
          <w:szCs w:val="28"/>
        </w:rPr>
        <w:t>首次提出了赤霉病菌在穗部的侵染、扩展模式，</w:t>
      </w:r>
      <w:r>
        <w:rPr>
          <w:color w:val="000000"/>
          <w:szCs w:val="28"/>
        </w:rPr>
        <w:t>明确了赤霉病菌在小麦穗部的初侵染位点、侵染方式和扩展途径，</w:t>
      </w:r>
      <w:r>
        <w:rPr>
          <w:bCs/>
          <w:color w:val="000000"/>
          <w:szCs w:val="28"/>
        </w:rPr>
        <w:t>纠正了1921年以来一直认为</w:t>
      </w:r>
      <w:r>
        <w:rPr>
          <w:rFonts w:ascii="宋体" w:hAnsi="宋体"/>
          <w:bCs/>
          <w:color w:val="000000"/>
          <w:szCs w:val="28"/>
        </w:rPr>
        <w:t>“赤霉病菌不能直接侵染小麦穗部组织”</w:t>
      </w:r>
      <w:r>
        <w:rPr>
          <w:bCs/>
          <w:color w:val="000000"/>
          <w:szCs w:val="28"/>
        </w:rPr>
        <w:t>的错误观点，</w:t>
      </w:r>
      <w:r>
        <w:rPr>
          <w:color w:val="000000"/>
          <w:szCs w:val="28"/>
        </w:rPr>
        <w:t>澄清了百年来国内外对赤霉病菌侵染途径的争议，确定了赤霉病防治关键时期，</w:t>
      </w:r>
      <w:r>
        <w:rPr>
          <w:bCs/>
          <w:color w:val="000000"/>
          <w:szCs w:val="28"/>
        </w:rPr>
        <w:t>把防治时间由过去的扬花盛期更正为齐穗期至扬花初期，防治效果由过去的48.02%提高到77.50%。</w:t>
      </w:r>
    </w:p>
    <w:p w14:paraId="35C06420">
      <w:pPr>
        <w:snapToGrid w:val="0"/>
        <w:spacing w:after="120" w:afterLines="50" w:line="400" w:lineRule="exact"/>
        <w:ind w:firstLine="482" w:firstLineChars="200"/>
        <w:rPr>
          <w:b/>
          <w:bCs/>
          <w:color w:val="000000"/>
          <w:szCs w:val="28"/>
        </w:rPr>
      </w:pPr>
      <w:r>
        <w:rPr>
          <w:b/>
          <w:bCs/>
          <w:color w:val="000000"/>
          <w:szCs w:val="28"/>
        </w:rPr>
        <w:t>2. 筛选出高效防病新型药剂，解决了药剂单一赤霉病菌产生抗药性的生产难题。</w:t>
      </w:r>
    </w:p>
    <w:p w14:paraId="73DC04F9">
      <w:pPr>
        <w:snapToGrid w:val="0"/>
        <w:spacing w:after="120" w:afterLines="50" w:line="400" w:lineRule="exact"/>
        <w:ind w:firstLine="480" w:firstLineChars="200"/>
        <w:rPr>
          <w:b/>
          <w:color w:val="000000"/>
          <w:szCs w:val="28"/>
        </w:rPr>
      </w:pPr>
      <w:r>
        <w:rPr>
          <w:color w:val="000000"/>
          <w:szCs w:val="28"/>
        </w:rPr>
        <w:t>筛选出对小麦赤霉病具高效保护和治疗作用，且可明显降低赤霉菌毒素含量的三唑类杀菌剂，戊唑醇、羟菌唑等三唑类杀菌剂，防治效果好，病情指数降低75.48%，毒素含量降低72.79%，解决了我国小麦赤霉病防治长期依赖单一药剂而无替代药剂的被动局面，目前该类杀菌剂已成为小麦赤霉病防治的主导药剂。</w:t>
      </w:r>
    </w:p>
    <w:p w14:paraId="6171F921">
      <w:pPr>
        <w:snapToGrid w:val="0"/>
        <w:spacing w:after="120" w:afterLines="50" w:line="400" w:lineRule="exact"/>
        <w:ind w:firstLine="482" w:firstLineChars="200"/>
        <w:rPr>
          <w:b/>
          <w:color w:val="000000"/>
          <w:szCs w:val="28"/>
        </w:rPr>
      </w:pPr>
      <w:r>
        <w:rPr>
          <w:b/>
          <w:color w:val="000000"/>
          <w:szCs w:val="28"/>
        </w:rPr>
        <w:t>3. 提出了小麦赤霉病分区治理策略，研发出的综合防控技术体系成为我国小麦赤霉病防控的主导技术。</w:t>
      </w:r>
    </w:p>
    <w:p w14:paraId="4E7502FF">
      <w:pPr>
        <w:snapToGrid w:val="0"/>
        <w:spacing w:after="120" w:afterLines="50" w:line="400" w:lineRule="exact"/>
        <w:ind w:firstLine="480" w:firstLineChars="200"/>
        <w:rPr>
          <w:color w:val="000000"/>
          <w:szCs w:val="28"/>
        </w:rPr>
      </w:pPr>
      <w:r>
        <w:rPr>
          <w:color w:val="000000"/>
          <w:szCs w:val="28"/>
        </w:rPr>
        <w:t>根据不同地区赤霉病发生的主要原因及危害程度，提出小麦赤霉病分区治理策略。其中在江淮流域、沿海和西南赤霉病常发生地区采取</w:t>
      </w:r>
      <w:r>
        <w:rPr>
          <w:rFonts w:ascii="宋体" w:hAnsi="宋体"/>
          <w:color w:val="000000"/>
          <w:szCs w:val="28"/>
        </w:rPr>
        <w:t>“以防为主、主动出击”的控病策略</w:t>
      </w:r>
      <w:r>
        <w:rPr>
          <w:color w:val="000000"/>
          <w:szCs w:val="28"/>
        </w:rPr>
        <w:t>；在赤霉病偶发地区，则应避免玉米与小麦套作或连作，减少菌源，并结合气象</w:t>
      </w:r>
      <w:r>
        <w:rPr>
          <w:rFonts w:hint="eastAsia"/>
          <w:color w:val="000000"/>
          <w:szCs w:val="28"/>
        </w:rPr>
        <w:t>等</w:t>
      </w:r>
      <w:r>
        <w:rPr>
          <w:color w:val="000000"/>
          <w:szCs w:val="28"/>
        </w:rPr>
        <w:t>情况决定是否喷施药剂防治。构建的赤霉病综合防治技术体系在我国长江中下游和黄淮麦区广泛应用，在近年我国赤霉病大流行的防治中发挥了关键作用，年均挽回小麦损失28亿公斤。相关成果获2008年陕西省科技进步一等奖、2010年国家科技进步二等奖。</w:t>
      </w:r>
    </w:p>
    <w:p w14:paraId="3C424B73">
      <w:pPr>
        <w:snapToGrid w:val="0"/>
        <w:spacing w:after="120" w:afterLines="50" w:line="400" w:lineRule="exact"/>
        <w:ind w:firstLine="482" w:firstLineChars="200"/>
        <w:rPr>
          <w:b/>
          <w:color w:val="000000"/>
          <w:szCs w:val="28"/>
        </w:rPr>
      </w:pPr>
      <w:r>
        <w:rPr>
          <w:rFonts w:hint="eastAsia"/>
          <w:b/>
          <w:color w:val="000000"/>
          <w:szCs w:val="28"/>
          <w:lang w:eastAsia="zh-CN"/>
        </w:rPr>
        <w:t>（</w:t>
      </w:r>
      <w:r>
        <w:rPr>
          <w:rFonts w:hint="eastAsia"/>
          <w:b/>
          <w:color w:val="000000"/>
          <w:szCs w:val="28"/>
          <w:lang w:val="en-US" w:eastAsia="zh-CN"/>
        </w:rPr>
        <w:t>五</w:t>
      </w:r>
      <w:r>
        <w:rPr>
          <w:rFonts w:hint="eastAsia"/>
          <w:b/>
          <w:color w:val="000000"/>
          <w:szCs w:val="28"/>
          <w:lang w:eastAsia="zh-CN"/>
        </w:rPr>
        <w:t>）</w:t>
      </w:r>
      <w:r>
        <w:rPr>
          <w:b/>
          <w:color w:val="000000"/>
          <w:szCs w:val="28"/>
        </w:rPr>
        <w:t>学科建设与人才培养成绩突出，推动了学科发展</w:t>
      </w:r>
    </w:p>
    <w:p w14:paraId="6F9CD55B">
      <w:pPr>
        <w:snapToGrid w:val="0"/>
        <w:spacing w:after="120" w:afterLines="50" w:line="400" w:lineRule="exact"/>
        <w:ind w:firstLine="480" w:firstLineChars="200"/>
        <w:rPr>
          <w:color w:val="000000"/>
          <w:szCs w:val="28"/>
        </w:rPr>
      </w:pPr>
      <w:r>
        <w:rPr>
          <w:color w:val="000000"/>
          <w:szCs w:val="28"/>
        </w:rPr>
        <w:t>作为学科带头人，他主持建成了旱区作物逆境生物学国家重点实验室、教育部旱区作物抗逆改良国际合作联合实验室等重大平台，使作物重大真菌病害成灾机制和综合防控、果树逆境生物学等领域跻身世界领先水平，植物病理学科发展成为国家级重点学科，植物保护专业成为国</w:t>
      </w:r>
      <w:r>
        <w:rPr>
          <w:rFonts w:ascii="宋体" w:hAnsi="宋体"/>
          <w:color w:val="000000"/>
          <w:szCs w:val="28"/>
        </w:rPr>
        <w:t>家“双一流”建</w:t>
      </w:r>
      <w:r>
        <w:rPr>
          <w:color w:val="000000"/>
          <w:szCs w:val="28"/>
        </w:rPr>
        <w:t>设学科；他十分重视人才培养，团队建设成效显著，近年来入选国家杰青、长江学者特聘教授等国家级领军人才11人，优青、青长等国家级青年人才13人，培养硕士博士200余人、博士后10人。</w:t>
      </w:r>
      <w:r>
        <w:rPr>
          <w:rFonts w:ascii="宋体" w:hAnsi="宋体"/>
          <w:color w:val="000000"/>
          <w:szCs w:val="28"/>
        </w:rPr>
        <w:t>“植物病虫害治理教师团队”入选教育部“全国高校黄大年式教学团队”，</w:t>
      </w:r>
      <w:r>
        <w:rPr>
          <w:color w:val="000000"/>
          <w:szCs w:val="28"/>
        </w:rPr>
        <w:t>主持的</w:t>
      </w:r>
      <w:r>
        <w:rPr>
          <w:rFonts w:ascii="宋体" w:hAnsi="宋体"/>
          <w:color w:val="000000"/>
          <w:szCs w:val="28"/>
        </w:rPr>
        <w:t>“名师引领 五联驱动”植物保护卓越人才培养体系构建与实践”</w:t>
      </w:r>
      <w:r>
        <w:rPr>
          <w:color w:val="000000"/>
          <w:szCs w:val="28"/>
        </w:rPr>
        <w:t>获2023年国家级教学成果一等奖，为我国农业科技创新人才培养做出了卓越贡献。</w:t>
      </w:r>
    </w:p>
    <w:p w14:paraId="45443682">
      <w:pPr>
        <w:snapToGrid w:val="0"/>
        <w:spacing w:before="120" w:beforeLines="50" w:line="440" w:lineRule="exact"/>
        <w:ind w:firstLine="480" w:firstLineChars="200"/>
        <w:rPr>
          <w:iCs/>
        </w:rPr>
      </w:pPr>
      <w:r>
        <w:rPr>
          <w:color w:val="000000"/>
          <w:szCs w:val="28"/>
        </w:rPr>
        <w:t>他治学严谨、为人谦和、品行端正，学术造诣深厚，现任作物抗逆与高效生产全国重点实验室首席科学家，先后兼任中国植物病理学会副理事长、中国植物保护学会副理事长、中国植物学会副理事长，国际植物病理学会理事等；担任《Stress Biology》主编、《Journal of Integrative Agriculture》专题主编，《Molecular Plant Pathology》、《中国农业科学》等期刊编委；</w:t>
      </w:r>
      <w:r>
        <w:rPr>
          <w:rFonts w:hint="eastAsia"/>
          <w:color w:val="000000"/>
          <w:szCs w:val="28"/>
        </w:rPr>
        <w:t>在Cell、Nature Communications、Plant Cell等刊物发表论文400余篇，连续十年被Elsevier评为中国农业与生物科学高被引学者</w:t>
      </w:r>
      <w:r>
        <w:rPr>
          <w:color w:val="000000"/>
          <w:szCs w:val="28"/>
        </w:rPr>
        <w:t>；主编著作教材16部，其中《Stripe Rust》是全球首部条锈菌英文著作；获国家科技进步一等奖、二等奖、三等奖各1项，省级一等奖6项；先后获批国家杰出青年基金，入选教</w:t>
      </w:r>
      <w:r>
        <w:rPr>
          <w:rFonts w:ascii="宋体" w:hAnsi="宋体"/>
          <w:color w:val="000000"/>
          <w:szCs w:val="28"/>
        </w:rPr>
        <w:t>育部“长江学者特聘教授”、“国家新世纪百千万人才”，荣获全国先</w:t>
      </w:r>
      <w:r>
        <w:rPr>
          <w:color w:val="000000"/>
          <w:szCs w:val="28"/>
        </w:rPr>
        <w:t>进工作者、全国创新争先奖状</w:t>
      </w:r>
      <w:r>
        <w:rPr>
          <w:rFonts w:hint="eastAsia"/>
          <w:color w:val="000000"/>
          <w:szCs w:val="28"/>
        </w:rPr>
        <w:t>、</w:t>
      </w:r>
      <w:r>
        <w:rPr>
          <w:color w:val="000000"/>
          <w:szCs w:val="28"/>
        </w:rPr>
        <w:t>全国优秀科技工作者、</w:t>
      </w:r>
      <w:r>
        <w:rPr>
          <w:rFonts w:ascii="宋体" w:hAnsi="宋体"/>
          <w:color w:val="000000"/>
          <w:szCs w:val="28"/>
        </w:rPr>
        <w:t>全国模范教师、国务院政府特殊津贴、农业部有突出贡献中青年专家、</w:t>
      </w:r>
      <w:r>
        <w:rPr>
          <w:color w:val="000000"/>
          <w:szCs w:val="28"/>
        </w:rPr>
        <w:t>陕</w:t>
      </w:r>
      <w:r>
        <w:rPr>
          <w:rFonts w:ascii="宋体" w:hAnsi="宋体"/>
          <w:color w:val="000000"/>
          <w:szCs w:val="28"/>
        </w:rPr>
        <w:t>西</w:t>
      </w:r>
      <w:r>
        <w:rPr>
          <w:rFonts w:hint="eastAsia" w:ascii="宋体" w:hAnsi="宋体"/>
          <w:color w:val="000000"/>
          <w:szCs w:val="28"/>
        </w:rPr>
        <w:t>省</w:t>
      </w:r>
      <w:r>
        <w:rPr>
          <w:rFonts w:ascii="宋体" w:hAnsi="宋体"/>
          <w:color w:val="000000"/>
          <w:szCs w:val="28"/>
        </w:rPr>
        <w:t>“三秦学者”</w:t>
      </w:r>
      <w:r>
        <w:rPr>
          <w:rFonts w:hint="eastAsia" w:ascii="宋体" w:hAnsi="宋体"/>
          <w:color w:val="000000"/>
          <w:szCs w:val="28"/>
        </w:rPr>
        <w:t>、</w:t>
      </w:r>
      <w:r>
        <w:rPr>
          <w:color w:val="000000"/>
          <w:szCs w:val="28"/>
        </w:rPr>
        <w:t>宝钢优秀教师特等奖等荣誉。</w:t>
      </w:r>
    </w:p>
    <w:p w14:paraId="023E09B9">
      <w:pPr>
        <w:snapToGrid w:val="0"/>
        <w:spacing w:after="156" w:afterLines="50" w:line="400" w:lineRule="exact"/>
        <w:ind w:firstLine="560" w:firstLineChars="200"/>
        <w:rPr>
          <w:rFonts w:hint="eastAsia" w:ascii="黑体" w:eastAsia="黑体" w:cs="黑体"/>
          <w:kern w:val="0"/>
          <w:sz w:val="28"/>
          <w:szCs w:val="28"/>
          <w:lang w:val="en-US" w:eastAsia="zh-CN"/>
        </w:rPr>
      </w:pPr>
      <w:r>
        <w:rPr>
          <w:rFonts w:hint="eastAsia" w:ascii="黑体" w:eastAsia="黑体" w:cs="黑体"/>
          <w:kern w:val="0"/>
          <w:sz w:val="28"/>
          <w:szCs w:val="28"/>
          <w:lang w:val="en-US" w:eastAsia="zh-CN"/>
        </w:rPr>
        <w:t>五</w:t>
      </w:r>
      <w:r>
        <w:rPr>
          <w:rFonts w:hint="eastAsia" w:ascii="黑体" w:eastAsia="黑体" w:cs="黑体"/>
          <w:kern w:val="0"/>
          <w:sz w:val="28"/>
          <w:szCs w:val="28"/>
          <w:lang w:eastAsia="zh-CN"/>
        </w:rPr>
        <w:t>、</w:t>
      </w:r>
      <w:r>
        <w:rPr>
          <w:rFonts w:hint="eastAsia" w:ascii="黑体" w:eastAsia="黑体" w:cs="黑体"/>
          <w:kern w:val="0"/>
          <w:sz w:val="28"/>
          <w:szCs w:val="28"/>
          <w:lang w:val="en-US" w:eastAsia="zh-CN"/>
        </w:rPr>
        <w:t>候选人论文、专著发表情况</w:t>
      </w:r>
      <w:bookmarkStart w:id="3" w:name="_GoBack"/>
      <w:bookmarkEnd w:id="3"/>
    </w:p>
    <w:tbl>
      <w:tblPr>
        <w:tblStyle w:val="4"/>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960"/>
      </w:tblGrid>
      <w:tr w14:paraId="0440F1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8960" w:type="dxa"/>
          </w:tcPr>
          <w:p w14:paraId="32D276B3">
            <w:pPr>
              <w:autoSpaceDE w:val="0"/>
              <w:autoSpaceDN w:val="0"/>
              <w:adjustRightInd w:val="0"/>
              <w:snapToGrid w:val="0"/>
              <w:spacing w:before="120" w:beforeLines="50" w:after="120" w:afterLines="50"/>
              <w:rPr>
                <w:b/>
                <w:bCs/>
                <w:color w:val="000000"/>
                <w:kern w:val="0"/>
              </w:rPr>
            </w:pPr>
            <w:r>
              <w:rPr>
                <w:color w:val="000000"/>
                <w:kern w:val="0"/>
              </w:rPr>
              <w:t xml:space="preserve">1. Duan W, Hao Z, Pang H, Peng Y, Xu Y, Zhang Y, Zhang Y, </w:t>
            </w:r>
            <w:r>
              <w:rPr>
                <w:b/>
                <w:bCs/>
                <w:color w:val="000000"/>
                <w:kern w:val="0"/>
              </w:rPr>
              <w:t>Kang Z</w:t>
            </w:r>
            <w:r>
              <w:rPr>
                <w:color w:val="000000"/>
                <w:kern w:val="0"/>
              </w:rPr>
              <w:t xml:space="preserve">, Zhao J. Novel stripe rust effector boosts the transcription of a host susceptibility factor through affecting histone modification to promote infection in wheat. </w:t>
            </w:r>
            <w:r>
              <w:rPr>
                <w:b/>
                <w:bCs/>
                <w:color w:val="000000"/>
                <w:kern w:val="0"/>
              </w:rPr>
              <w:t>New Phytologist</w:t>
            </w:r>
            <w:r>
              <w:rPr>
                <w:color w:val="000000"/>
                <w:kern w:val="0"/>
              </w:rPr>
              <w:t>, 2024, 241(1):378-393. IF</w:t>
            </w:r>
            <w:r>
              <w:rPr>
                <w:color w:val="000000"/>
                <w:kern w:val="0"/>
                <w:sz w:val="16"/>
                <w:szCs w:val="16"/>
              </w:rPr>
              <w:t>2022</w:t>
            </w:r>
            <w:r>
              <w:rPr>
                <w:color w:val="000000"/>
                <w:kern w:val="0"/>
              </w:rPr>
              <w:t>=</w:t>
            </w:r>
            <w:r>
              <w:rPr>
                <w:b/>
                <w:bCs/>
                <w:color w:val="000000"/>
                <w:kern w:val="0"/>
              </w:rPr>
              <w:t>9.4</w:t>
            </w:r>
            <w:r>
              <w:rPr>
                <w:color w:val="000000"/>
                <w:kern w:val="0"/>
              </w:rPr>
              <w:t xml:space="preserve">, </w:t>
            </w:r>
            <w:r>
              <w:rPr>
                <w:rFonts w:hint="eastAsia" w:ascii="宋体" w:cs="宋体"/>
                <w:color w:val="000000"/>
                <w:kern w:val="0"/>
              </w:rPr>
              <w:t>被引次数：</w:t>
            </w:r>
            <w:r>
              <w:rPr>
                <w:b/>
                <w:bCs/>
                <w:color w:val="000000"/>
                <w:kern w:val="0"/>
              </w:rPr>
              <w:t>1</w:t>
            </w:r>
          </w:p>
          <w:p w14:paraId="103E69F1">
            <w:pPr>
              <w:autoSpaceDE w:val="0"/>
              <w:autoSpaceDN w:val="0"/>
              <w:adjustRightInd w:val="0"/>
              <w:snapToGrid w:val="0"/>
              <w:spacing w:after="120" w:afterLines="50"/>
              <w:rPr>
                <w:b/>
                <w:bCs/>
                <w:color w:val="000000"/>
                <w:kern w:val="0"/>
              </w:rPr>
            </w:pPr>
            <w:r>
              <w:rPr>
                <w:color w:val="000000"/>
                <w:kern w:val="0"/>
              </w:rPr>
              <w:t xml:space="preserve">2. Mao HD, Jiang C, Tang CL, Nie XJ, Du LY, Liu YL, Cheng P, Wu YF, Liu HQ, </w:t>
            </w:r>
            <w:r>
              <w:rPr>
                <w:b/>
                <w:bCs/>
                <w:color w:val="000000"/>
                <w:kern w:val="0"/>
              </w:rPr>
              <w:t>Kang ZS</w:t>
            </w:r>
            <w:r>
              <w:rPr>
                <w:color w:val="000000"/>
                <w:kern w:val="0"/>
              </w:rPr>
              <w:t xml:space="preserve">, Wang XJ. Wheat adaptation to environmental stresses under climate change: Molecular basis and genetic improvement. </w:t>
            </w:r>
            <w:r>
              <w:rPr>
                <w:b/>
                <w:bCs/>
                <w:color w:val="000000"/>
                <w:kern w:val="0"/>
              </w:rPr>
              <w:t>Molecular Plant</w:t>
            </w:r>
            <w:r>
              <w:rPr>
                <w:color w:val="000000"/>
                <w:kern w:val="0"/>
              </w:rPr>
              <w:t>, 2023, 16(10):1564-1589. IF</w:t>
            </w:r>
            <w:r>
              <w:rPr>
                <w:color w:val="000000"/>
                <w:kern w:val="0"/>
                <w:sz w:val="16"/>
                <w:szCs w:val="16"/>
              </w:rPr>
              <w:t>2022</w:t>
            </w:r>
            <w:r>
              <w:rPr>
                <w:color w:val="000000"/>
                <w:kern w:val="0"/>
              </w:rPr>
              <w:t>=</w:t>
            </w:r>
            <w:r>
              <w:rPr>
                <w:b/>
                <w:bCs/>
                <w:color w:val="000000"/>
                <w:kern w:val="0"/>
              </w:rPr>
              <w:t>27.5</w:t>
            </w:r>
            <w:r>
              <w:rPr>
                <w:color w:val="000000"/>
                <w:kern w:val="0"/>
              </w:rPr>
              <w:t xml:space="preserve">, </w:t>
            </w:r>
            <w:r>
              <w:rPr>
                <w:rFonts w:hint="eastAsia" w:ascii="宋体" w:cs="宋体"/>
                <w:color w:val="000000"/>
                <w:kern w:val="0"/>
              </w:rPr>
              <w:t>被引次数：</w:t>
            </w:r>
            <w:r>
              <w:rPr>
                <w:b/>
                <w:bCs/>
                <w:color w:val="000000"/>
                <w:kern w:val="0"/>
              </w:rPr>
              <w:t>2</w:t>
            </w:r>
          </w:p>
          <w:p w14:paraId="6D632DAB">
            <w:pPr>
              <w:autoSpaceDE w:val="0"/>
              <w:autoSpaceDN w:val="0"/>
              <w:adjustRightInd w:val="0"/>
              <w:snapToGrid w:val="0"/>
              <w:spacing w:after="120" w:afterLines="50"/>
              <w:rPr>
                <w:rFonts w:ascii="宋体" w:cs="宋体"/>
                <w:color w:val="000000"/>
                <w:kern w:val="0"/>
              </w:rPr>
            </w:pPr>
            <w:r>
              <w:rPr>
                <w:color w:val="000000"/>
                <w:kern w:val="0"/>
              </w:rPr>
              <w:t xml:space="preserve">3. Tang CL, Xu Q, Zhao JR, Yue MX, Wang JF, Wang XD, </w:t>
            </w:r>
            <w:r>
              <w:rPr>
                <w:b/>
                <w:bCs/>
                <w:color w:val="000000"/>
                <w:kern w:val="0"/>
              </w:rPr>
              <w:t>Kang ZS</w:t>
            </w:r>
            <w:r>
              <w:rPr>
                <w:color w:val="000000"/>
                <w:kern w:val="0"/>
              </w:rPr>
              <w:t xml:space="preserve">, Wang XJ. A rust fungus effector directly binds plant pre-mRNA splice site to reprogram alternative splicing and suppress host immunity. </w:t>
            </w:r>
            <w:r>
              <w:rPr>
                <w:b/>
                <w:bCs/>
                <w:color w:val="000000"/>
                <w:kern w:val="0"/>
              </w:rPr>
              <w:t>Plant Biotechnology Journal</w:t>
            </w:r>
            <w:r>
              <w:rPr>
                <w:color w:val="000000"/>
                <w:kern w:val="0"/>
              </w:rPr>
              <w:t>, 2022, 20(6):1167-1181. IF</w:t>
            </w:r>
            <w:r>
              <w:rPr>
                <w:color w:val="000000"/>
                <w:kern w:val="0"/>
                <w:sz w:val="16"/>
                <w:szCs w:val="16"/>
              </w:rPr>
              <w:t>2022</w:t>
            </w:r>
            <w:r>
              <w:rPr>
                <w:color w:val="000000"/>
                <w:kern w:val="0"/>
              </w:rPr>
              <w:t>=</w:t>
            </w:r>
            <w:r>
              <w:rPr>
                <w:b/>
                <w:bCs/>
                <w:color w:val="000000"/>
                <w:kern w:val="0"/>
              </w:rPr>
              <w:t>13.8</w:t>
            </w:r>
            <w:r>
              <w:rPr>
                <w:color w:val="000000"/>
                <w:kern w:val="0"/>
              </w:rPr>
              <w:t xml:space="preserve">, </w:t>
            </w:r>
            <w:r>
              <w:rPr>
                <w:rFonts w:hint="eastAsia" w:ascii="宋体" w:cs="宋体"/>
                <w:color w:val="000000"/>
                <w:kern w:val="0"/>
              </w:rPr>
              <w:t>被引次数：</w:t>
            </w:r>
            <w:r>
              <w:rPr>
                <w:b/>
                <w:bCs/>
                <w:color w:val="000000"/>
                <w:kern w:val="0"/>
              </w:rPr>
              <w:t>23</w:t>
            </w:r>
            <w:r>
              <w:rPr>
                <w:rFonts w:hint="eastAsia" w:ascii="宋体" w:cs="宋体"/>
                <w:color w:val="000000"/>
                <w:kern w:val="0"/>
              </w:rPr>
              <w:t>（高被引论文）</w:t>
            </w:r>
          </w:p>
          <w:p w14:paraId="75063371">
            <w:pPr>
              <w:autoSpaceDE w:val="0"/>
              <w:autoSpaceDN w:val="0"/>
              <w:adjustRightInd w:val="0"/>
              <w:snapToGrid w:val="0"/>
              <w:spacing w:after="120" w:afterLines="50"/>
              <w:rPr>
                <w:b/>
                <w:bCs/>
                <w:color w:val="000000"/>
                <w:kern w:val="0"/>
              </w:rPr>
            </w:pPr>
            <w:r>
              <w:rPr>
                <w:color w:val="000000"/>
                <w:kern w:val="0"/>
              </w:rPr>
              <w:t xml:space="preserve">4. Wan CP, Liu Y, Tian SX, Guo J, Bai XX, Zhu HC, </w:t>
            </w:r>
            <w:r>
              <w:rPr>
                <w:b/>
                <w:bCs/>
                <w:color w:val="000000"/>
                <w:kern w:val="0"/>
              </w:rPr>
              <w:t>Kang ZS</w:t>
            </w:r>
            <w:r>
              <w:rPr>
                <w:color w:val="000000"/>
                <w:kern w:val="0"/>
              </w:rPr>
              <w:t xml:space="preserve">, Guo J. A serine-rich effector from the stripe rust pathogen targets a Raf-like kinase to suppress host immunity. </w:t>
            </w:r>
            <w:r>
              <w:rPr>
                <w:b/>
                <w:bCs/>
                <w:color w:val="000000"/>
                <w:kern w:val="0"/>
              </w:rPr>
              <w:t>Plant Physiology</w:t>
            </w:r>
            <w:r>
              <w:rPr>
                <w:color w:val="000000"/>
                <w:kern w:val="0"/>
              </w:rPr>
              <w:t>, 2022, 190(1):762-78. IF</w:t>
            </w:r>
            <w:r>
              <w:rPr>
                <w:color w:val="000000"/>
                <w:kern w:val="0"/>
                <w:sz w:val="16"/>
                <w:szCs w:val="16"/>
              </w:rPr>
              <w:t>2022</w:t>
            </w:r>
            <w:r>
              <w:rPr>
                <w:color w:val="000000"/>
                <w:kern w:val="0"/>
              </w:rPr>
              <w:t>=</w:t>
            </w:r>
            <w:r>
              <w:rPr>
                <w:b/>
                <w:bCs/>
                <w:color w:val="000000"/>
                <w:kern w:val="0"/>
              </w:rPr>
              <w:t>7.4</w:t>
            </w:r>
            <w:r>
              <w:rPr>
                <w:color w:val="000000"/>
                <w:kern w:val="0"/>
              </w:rPr>
              <w:t>,</w:t>
            </w:r>
            <w:r>
              <w:rPr>
                <w:rFonts w:hint="eastAsia" w:ascii="宋体" w:cs="宋体"/>
                <w:color w:val="000000"/>
                <w:kern w:val="0"/>
              </w:rPr>
              <w:t>被引次数：</w:t>
            </w:r>
            <w:r>
              <w:rPr>
                <w:b/>
                <w:bCs/>
                <w:color w:val="000000"/>
                <w:kern w:val="0"/>
              </w:rPr>
              <w:t>12</w:t>
            </w:r>
          </w:p>
          <w:p w14:paraId="3ABF5B68">
            <w:pPr>
              <w:autoSpaceDE w:val="0"/>
              <w:autoSpaceDN w:val="0"/>
              <w:adjustRightInd w:val="0"/>
              <w:snapToGrid w:val="0"/>
              <w:spacing w:after="120" w:afterLines="50"/>
              <w:rPr>
                <w:b/>
                <w:bCs/>
                <w:color w:val="000000"/>
                <w:kern w:val="0"/>
              </w:rPr>
            </w:pPr>
            <w:r>
              <w:rPr>
                <w:color w:val="000000"/>
                <w:kern w:val="0"/>
              </w:rPr>
              <w:t xml:space="preserve">5. Liu C, Wang YQ, Wang YF, Du YY, Song C, Song P, Yang Q, He FX, Bai XX, Huang LL, Guo J, </w:t>
            </w:r>
            <w:r>
              <w:rPr>
                <w:b/>
                <w:bCs/>
                <w:color w:val="000000"/>
                <w:kern w:val="0"/>
              </w:rPr>
              <w:t>Kang ZS</w:t>
            </w:r>
            <w:r>
              <w:rPr>
                <w:color w:val="000000"/>
                <w:kern w:val="0"/>
              </w:rPr>
              <w:t xml:space="preserve">, Guo J. Glycine-serine-rich effector PstGSRE4 in </w:t>
            </w:r>
            <w:r>
              <w:rPr>
                <w:i/>
                <w:iCs/>
                <w:color w:val="000000"/>
                <w:kern w:val="0"/>
              </w:rPr>
              <w:t xml:space="preserve">Puccinia striiformis </w:t>
            </w:r>
            <w:r>
              <w:rPr>
                <w:color w:val="000000"/>
                <w:kern w:val="0"/>
              </w:rPr>
              <w:t xml:space="preserve">f. sp. </w:t>
            </w:r>
            <w:r>
              <w:rPr>
                <w:i/>
                <w:iCs/>
                <w:color w:val="000000"/>
                <w:kern w:val="0"/>
              </w:rPr>
              <w:t xml:space="preserve">tritici </w:t>
            </w:r>
            <w:r>
              <w:rPr>
                <w:color w:val="000000"/>
                <w:kern w:val="0"/>
              </w:rPr>
              <w:t xml:space="preserve">inhibits the activity of copper zinc superoxide dismutase to modulate immunity in wheat. </w:t>
            </w:r>
            <w:r>
              <w:rPr>
                <w:b/>
                <w:bCs/>
                <w:color w:val="000000"/>
                <w:kern w:val="0"/>
              </w:rPr>
              <w:t>Plos Pathogens</w:t>
            </w:r>
            <w:r>
              <w:rPr>
                <w:color w:val="000000"/>
                <w:kern w:val="0"/>
              </w:rPr>
              <w:t>, 2022, 18(7): e1010702. IF</w:t>
            </w:r>
            <w:r>
              <w:rPr>
                <w:color w:val="000000"/>
                <w:kern w:val="0"/>
                <w:sz w:val="16"/>
                <w:szCs w:val="16"/>
              </w:rPr>
              <w:t>2022</w:t>
            </w:r>
            <w:r>
              <w:rPr>
                <w:color w:val="000000"/>
                <w:kern w:val="0"/>
              </w:rPr>
              <w:t>=</w:t>
            </w:r>
            <w:r>
              <w:rPr>
                <w:b/>
                <w:bCs/>
                <w:color w:val="000000"/>
                <w:kern w:val="0"/>
              </w:rPr>
              <w:t>6.7</w:t>
            </w:r>
            <w:r>
              <w:rPr>
                <w:color w:val="000000"/>
                <w:kern w:val="0"/>
              </w:rPr>
              <w:t xml:space="preserve">, </w:t>
            </w:r>
            <w:r>
              <w:rPr>
                <w:rFonts w:hint="eastAsia" w:ascii="宋体" w:cs="宋体"/>
                <w:color w:val="000000"/>
                <w:kern w:val="0"/>
              </w:rPr>
              <w:t>被引 次数：</w:t>
            </w:r>
            <w:r>
              <w:rPr>
                <w:b/>
                <w:bCs/>
                <w:color w:val="000000"/>
                <w:kern w:val="0"/>
              </w:rPr>
              <w:t>16</w:t>
            </w:r>
          </w:p>
          <w:p w14:paraId="1390211E">
            <w:pPr>
              <w:autoSpaceDE w:val="0"/>
              <w:autoSpaceDN w:val="0"/>
              <w:adjustRightInd w:val="0"/>
              <w:snapToGrid w:val="0"/>
              <w:spacing w:after="120" w:afterLines="50"/>
              <w:rPr>
                <w:rFonts w:ascii="宋体" w:cs="宋体"/>
                <w:color w:val="000000"/>
                <w:kern w:val="0"/>
              </w:rPr>
            </w:pPr>
            <w:r>
              <w:rPr>
                <w:color w:val="000000"/>
                <w:kern w:val="0"/>
              </w:rPr>
              <w:t xml:space="preserve">6. Mao HD, Li SM, Chen B, Jian C, Mei FM, Zhang YF, Li FF, Chen N, Li T, Du LY, Ding L, Wang ZX, Cheng XX, Wang XJ, </w:t>
            </w:r>
            <w:r>
              <w:rPr>
                <w:b/>
                <w:bCs/>
                <w:color w:val="000000"/>
                <w:kern w:val="0"/>
              </w:rPr>
              <w:t>Kang ZS</w:t>
            </w:r>
            <w:r>
              <w:rPr>
                <w:color w:val="000000"/>
                <w:kern w:val="0"/>
              </w:rPr>
              <w:t xml:space="preserve">. Variation in cis-regulation of a NAC transcription factor contributes to tolerance in wheat. </w:t>
            </w:r>
            <w:r>
              <w:rPr>
                <w:b/>
                <w:bCs/>
                <w:color w:val="000000"/>
                <w:kern w:val="0"/>
              </w:rPr>
              <w:t>Molecular Plant</w:t>
            </w:r>
            <w:r>
              <w:rPr>
                <w:color w:val="000000"/>
                <w:kern w:val="0"/>
              </w:rPr>
              <w:t>, 2022, 15(2):276-292. IF</w:t>
            </w:r>
            <w:r>
              <w:rPr>
                <w:color w:val="000000"/>
                <w:kern w:val="0"/>
                <w:sz w:val="16"/>
                <w:szCs w:val="16"/>
              </w:rPr>
              <w:t>2022</w:t>
            </w:r>
            <w:r>
              <w:rPr>
                <w:color w:val="000000"/>
                <w:kern w:val="0"/>
              </w:rPr>
              <w:t>=</w:t>
            </w:r>
            <w:r>
              <w:rPr>
                <w:b/>
                <w:bCs/>
                <w:color w:val="000000"/>
                <w:kern w:val="0"/>
              </w:rPr>
              <w:t>27.5</w:t>
            </w:r>
            <w:r>
              <w:rPr>
                <w:color w:val="000000"/>
                <w:kern w:val="0"/>
              </w:rPr>
              <w:t xml:space="preserve">, </w:t>
            </w:r>
            <w:r>
              <w:rPr>
                <w:rFonts w:hint="eastAsia" w:ascii="宋体" w:cs="宋体"/>
                <w:color w:val="000000"/>
                <w:kern w:val="0"/>
              </w:rPr>
              <w:t>被引次数：</w:t>
            </w:r>
            <w:r>
              <w:rPr>
                <w:b/>
                <w:bCs/>
                <w:color w:val="000000"/>
                <w:kern w:val="0"/>
              </w:rPr>
              <w:t>64</w:t>
            </w:r>
            <w:r>
              <w:rPr>
                <w:rFonts w:hint="eastAsia" w:ascii="宋体" w:cs="宋体"/>
                <w:color w:val="000000"/>
                <w:kern w:val="0"/>
              </w:rPr>
              <w:t>（高被引论文）</w:t>
            </w:r>
          </w:p>
          <w:p w14:paraId="543E9CF4">
            <w:pPr>
              <w:autoSpaceDE w:val="0"/>
              <w:autoSpaceDN w:val="0"/>
              <w:adjustRightInd w:val="0"/>
              <w:snapToGrid w:val="0"/>
              <w:spacing w:after="120" w:afterLines="50"/>
              <w:rPr>
                <w:b/>
                <w:bCs/>
                <w:color w:val="000000"/>
                <w:kern w:val="0"/>
              </w:rPr>
            </w:pPr>
            <w:r>
              <w:rPr>
                <w:color w:val="000000"/>
                <w:kern w:val="0"/>
              </w:rPr>
              <w:t xml:space="preserve">7. Mei FM, Chen B, Du LY, Li SM, Zhu DH, Chen N, Zhang YF, Li FF, Wang ZX, Cheng XX, Ding L, </w:t>
            </w:r>
            <w:r>
              <w:rPr>
                <w:b/>
                <w:bCs/>
                <w:color w:val="000000"/>
                <w:kern w:val="0"/>
              </w:rPr>
              <w:t>Kang ZS</w:t>
            </w:r>
            <w:r>
              <w:rPr>
                <w:color w:val="000000"/>
                <w:kern w:val="0"/>
              </w:rPr>
              <w:t xml:space="preserve">, Mao HD. A gain-of-function allele of a DREB transcription factor gene ameliorates drought tolerance in wheat. </w:t>
            </w:r>
            <w:r>
              <w:rPr>
                <w:b/>
                <w:bCs/>
                <w:color w:val="000000"/>
                <w:kern w:val="0"/>
              </w:rPr>
              <w:t>Plant Cell</w:t>
            </w:r>
            <w:r>
              <w:rPr>
                <w:color w:val="000000"/>
                <w:kern w:val="0"/>
              </w:rPr>
              <w:t>, 2022, 34(11):4472-4494. IF</w:t>
            </w:r>
            <w:r>
              <w:rPr>
                <w:color w:val="000000"/>
                <w:kern w:val="0"/>
                <w:sz w:val="16"/>
                <w:szCs w:val="16"/>
              </w:rPr>
              <w:t>2022</w:t>
            </w:r>
            <w:r>
              <w:rPr>
                <w:color w:val="000000"/>
                <w:kern w:val="0"/>
              </w:rPr>
              <w:t>=</w:t>
            </w:r>
            <w:r>
              <w:rPr>
                <w:b/>
                <w:bCs/>
                <w:color w:val="000000"/>
                <w:kern w:val="0"/>
              </w:rPr>
              <w:t>11.6</w:t>
            </w:r>
            <w:r>
              <w:rPr>
                <w:color w:val="000000"/>
                <w:kern w:val="0"/>
              </w:rPr>
              <w:t xml:space="preserve">, </w:t>
            </w:r>
            <w:r>
              <w:rPr>
                <w:rFonts w:hint="eastAsia" w:ascii="宋体" w:cs="宋体"/>
                <w:color w:val="000000"/>
                <w:kern w:val="0"/>
              </w:rPr>
              <w:t>被引次数：</w:t>
            </w:r>
            <w:r>
              <w:rPr>
                <w:b/>
                <w:bCs/>
                <w:color w:val="000000"/>
                <w:kern w:val="0"/>
              </w:rPr>
              <w:t xml:space="preserve">21 </w:t>
            </w:r>
          </w:p>
          <w:p w14:paraId="580B128C">
            <w:pPr>
              <w:autoSpaceDE w:val="0"/>
              <w:autoSpaceDN w:val="0"/>
              <w:adjustRightInd w:val="0"/>
              <w:snapToGrid w:val="0"/>
              <w:spacing w:after="120" w:afterLines="50"/>
              <w:rPr>
                <w:rFonts w:ascii="宋体" w:cs="宋体"/>
                <w:color w:val="000000"/>
                <w:kern w:val="0"/>
              </w:rPr>
            </w:pPr>
            <w:r>
              <w:rPr>
                <w:color w:val="000000"/>
                <w:kern w:val="0"/>
              </w:rPr>
              <w:t xml:space="preserve">8. Wang N, Fan X, He MY, Hu ZY, Tang CL, Zhang S, Lin DX, Gan PF, Wang JF, Huang XL, Gao CX, </w:t>
            </w:r>
            <w:r>
              <w:rPr>
                <w:b/>
                <w:bCs/>
                <w:color w:val="000000"/>
                <w:kern w:val="0"/>
              </w:rPr>
              <w:t>Kang ZS</w:t>
            </w:r>
            <w:r>
              <w:rPr>
                <w:color w:val="000000"/>
                <w:kern w:val="0"/>
              </w:rPr>
              <w:t xml:space="preserve">, Wang XJ. Transcriptional repression of </w:t>
            </w:r>
            <w:r>
              <w:rPr>
                <w:i/>
                <w:iCs/>
                <w:color w:val="000000"/>
                <w:kern w:val="0"/>
              </w:rPr>
              <w:t xml:space="preserve">TaNOX10 </w:t>
            </w:r>
            <w:r>
              <w:rPr>
                <w:color w:val="000000"/>
                <w:kern w:val="0"/>
              </w:rPr>
              <w:t xml:space="preserve">by TaWRKY19 compromises ROS generation and enhances wheat susceptibility to stripe rust. </w:t>
            </w:r>
            <w:r>
              <w:rPr>
                <w:b/>
                <w:bCs/>
                <w:color w:val="000000"/>
                <w:kern w:val="0"/>
              </w:rPr>
              <w:t>Plant Cell</w:t>
            </w:r>
            <w:r>
              <w:rPr>
                <w:color w:val="000000"/>
                <w:kern w:val="0"/>
              </w:rPr>
              <w:t>, 2022, 34(5):1784-803. IF</w:t>
            </w:r>
            <w:r>
              <w:rPr>
                <w:color w:val="000000"/>
                <w:kern w:val="0"/>
                <w:sz w:val="16"/>
                <w:szCs w:val="16"/>
              </w:rPr>
              <w:t>2022</w:t>
            </w:r>
            <w:r>
              <w:rPr>
                <w:color w:val="000000"/>
                <w:kern w:val="0"/>
              </w:rPr>
              <w:t>=</w:t>
            </w:r>
            <w:r>
              <w:rPr>
                <w:b/>
                <w:bCs/>
                <w:color w:val="000000"/>
                <w:kern w:val="0"/>
              </w:rPr>
              <w:t>11.6</w:t>
            </w:r>
            <w:r>
              <w:rPr>
                <w:color w:val="000000"/>
                <w:kern w:val="0"/>
              </w:rPr>
              <w:t xml:space="preserve">, </w:t>
            </w:r>
            <w:r>
              <w:rPr>
                <w:rFonts w:hint="eastAsia" w:ascii="宋体" w:cs="宋体"/>
                <w:color w:val="000000"/>
                <w:kern w:val="0"/>
              </w:rPr>
              <w:t>被引次数：</w:t>
            </w:r>
            <w:r>
              <w:rPr>
                <w:b/>
                <w:bCs/>
                <w:color w:val="000000"/>
                <w:kern w:val="0"/>
              </w:rPr>
              <w:t>29</w:t>
            </w:r>
            <w:r>
              <w:rPr>
                <w:rFonts w:hint="eastAsia" w:ascii="宋体" w:cs="宋体"/>
                <w:color w:val="000000"/>
                <w:kern w:val="0"/>
              </w:rPr>
              <w:t xml:space="preserve">（高被引论文） </w:t>
            </w:r>
          </w:p>
          <w:p w14:paraId="549A77EA">
            <w:pPr>
              <w:autoSpaceDE w:val="0"/>
              <w:autoSpaceDN w:val="0"/>
              <w:adjustRightInd w:val="0"/>
              <w:snapToGrid w:val="0"/>
              <w:spacing w:after="120" w:afterLines="50"/>
              <w:rPr>
                <w:b/>
                <w:bCs/>
                <w:color w:val="000000"/>
                <w:kern w:val="0"/>
              </w:rPr>
            </w:pPr>
            <w:r>
              <w:rPr>
                <w:color w:val="000000"/>
                <w:kern w:val="0"/>
              </w:rPr>
              <w:t xml:space="preserve">9. Wang N, Tang CL, Fan X, He MY, Gan PF, Zhang S, Hu ZY, Wang XD, Yan T, Shu WX, Yu LG, Zhao JR, He JN, Li LL, Wang JF, Huang XL, Huang LL, Zhou JM, </w:t>
            </w:r>
            <w:r>
              <w:rPr>
                <w:b/>
                <w:bCs/>
                <w:color w:val="000000"/>
                <w:kern w:val="0"/>
              </w:rPr>
              <w:t>Kang ZS</w:t>
            </w:r>
            <w:r>
              <w:rPr>
                <w:color w:val="000000"/>
                <w:kern w:val="0"/>
              </w:rPr>
              <w:t xml:space="preserve">, Wang XJ. Inactivation of a wheat protein kinase gene confers broad-spectrum resistance to rust fungi. </w:t>
            </w:r>
            <w:r>
              <w:rPr>
                <w:b/>
                <w:bCs/>
                <w:color w:val="000000"/>
                <w:kern w:val="0"/>
              </w:rPr>
              <w:t>Cell</w:t>
            </w:r>
            <w:r>
              <w:rPr>
                <w:color w:val="000000"/>
                <w:kern w:val="0"/>
              </w:rPr>
              <w:t>, 2022, 185(16):2961-2974. IF</w:t>
            </w:r>
            <w:r>
              <w:rPr>
                <w:color w:val="000000"/>
                <w:kern w:val="0"/>
                <w:sz w:val="16"/>
                <w:szCs w:val="16"/>
              </w:rPr>
              <w:t>2022</w:t>
            </w:r>
            <w:r>
              <w:rPr>
                <w:color w:val="000000"/>
                <w:kern w:val="0"/>
              </w:rPr>
              <w:t>=</w:t>
            </w:r>
            <w:r>
              <w:rPr>
                <w:b/>
                <w:bCs/>
                <w:color w:val="000000"/>
                <w:kern w:val="0"/>
              </w:rPr>
              <w:t>64.5</w:t>
            </w:r>
            <w:r>
              <w:rPr>
                <w:color w:val="000000"/>
                <w:kern w:val="0"/>
              </w:rPr>
              <w:t xml:space="preserve">, </w:t>
            </w:r>
            <w:r>
              <w:rPr>
                <w:rFonts w:hint="eastAsia" w:ascii="宋体" w:cs="宋体"/>
                <w:color w:val="000000"/>
                <w:kern w:val="0"/>
              </w:rPr>
              <w:t>被引次数：</w:t>
            </w:r>
            <w:r>
              <w:rPr>
                <w:b/>
                <w:bCs/>
                <w:color w:val="000000"/>
                <w:kern w:val="0"/>
              </w:rPr>
              <w:t>51</w:t>
            </w:r>
          </w:p>
          <w:p w14:paraId="516DCAFA">
            <w:pPr>
              <w:autoSpaceDE w:val="0"/>
              <w:autoSpaceDN w:val="0"/>
              <w:adjustRightInd w:val="0"/>
              <w:snapToGrid w:val="0"/>
              <w:spacing w:after="120" w:afterLines="50"/>
              <w:rPr>
                <w:b/>
                <w:bCs/>
                <w:color w:val="000000"/>
                <w:kern w:val="0"/>
              </w:rPr>
            </w:pPr>
            <w:r>
              <w:rPr>
                <w:color w:val="000000"/>
                <w:kern w:val="0"/>
              </w:rPr>
              <w:t xml:space="preserve">10. Wu JH, Yu R, Wang HY, Zhou CE, Huang S, Jiao HX, Yu SZ, Nie XJ, Wang QL, Liu SJ, Song WN, Singh RP, Bhavani S, </w:t>
            </w:r>
            <w:r>
              <w:rPr>
                <w:b/>
                <w:bCs/>
                <w:color w:val="000000"/>
                <w:kern w:val="0"/>
              </w:rPr>
              <w:t>Kang ZS</w:t>
            </w:r>
            <w:r>
              <w:rPr>
                <w:color w:val="000000"/>
                <w:kern w:val="0"/>
              </w:rPr>
              <w:t xml:space="preserve">, Han DJ, Zeng QD. A large-scale genomic association analysis identifies the candidate causal genes conferring stripe rust resistance under multiple field environments. </w:t>
            </w:r>
            <w:r>
              <w:rPr>
                <w:b/>
                <w:bCs/>
                <w:color w:val="000000"/>
                <w:kern w:val="0"/>
              </w:rPr>
              <w:t>Plant Biotechnology Journal</w:t>
            </w:r>
            <w:r>
              <w:rPr>
                <w:color w:val="000000"/>
                <w:kern w:val="0"/>
              </w:rPr>
              <w:t>, 2021, 19(1):177-91. IF</w:t>
            </w:r>
            <w:r>
              <w:rPr>
                <w:color w:val="000000"/>
                <w:kern w:val="0"/>
                <w:sz w:val="16"/>
                <w:szCs w:val="16"/>
              </w:rPr>
              <w:t>2022</w:t>
            </w:r>
            <w:r>
              <w:rPr>
                <w:color w:val="000000"/>
                <w:kern w:val="0"/>
              </w:rPr>
              <w:t>=</w:t>
            </w:r>
            <w:r>
              <w:rPr>
                <w:b/>
                <w:bCs/>
                <w:color w:val="000000"/>
                <w:kern w:val="0"/>
              </w:rPr>
              <w:t>13.8</w:t>
            </w:r>
            <w:r>
              <w:rPr>
                <w:color w:val="000000"/>
                <w:kern w:val="0"/>
              </w:rPr>
              <w:t xml:space="preserve">, </w:t>
            </w:r>
            <w:r>
              <w:rPr>
                <w:rFonts w:hint="eastAsia" w:ascii="宋体" w:cs="宋体"/>
                <w:color w:val="000000"/>
                <w:kern w:val="0"/>
              </w:rPr>
              <w:t>被引次数：</w:t>
            </w:r>
            <w:r>
              <w:rPr>
                <w:b/>
                <w:bCs/>
                <w:color w:val="000000"/>
                <w:kern w:val="0"/>
              </w:rPr>
              <w:t>42</w:t>
            </w:r>
          </w:p>
          <w:p w14:paraId="457F16BA">
            <w:pPr>
              <w:autoSpaceDE w:val="0"/>
              <w:autoSpaceDN w:val="0"/>
              <w:adjustRightInd w:val="0"/>
              <w:snapToGrid w:val="0"/>
              <w:spacing w:after="120" w:afterLines="50"/>
              <w:rPr>
                <w:b/>
                <w:bCs/>
                <w:color w:val="000000"/>
                <w:kern w:val="0"/>
              </w:rPr>
            </w:pPr>
            <w:r>
              <w:rPr>
                <w:color w:val="000000"/>
                <w:kern w:val="0"/>
              </w:rPr>
              <w:t xml:space="preserve">11. Yang Q, Huai BY, Lu YX, Cai KY, Guo J, Zhu XG, </w:t>
            </w:r>
            <w:r>
              <w:rPr>
                <w:b/>
                <w:bCs/>
                <w:color w:val="000000"/>
                <w:kern w:val="0"/>
              </w:rPr>
              <w:t>Kang ZS</w:t>
            </w:r>
            <w:r>
              <w:rPr>
                <w:color w:val="000000"/>
                <w:kern w:val="0"/>
              </w:rPr>
              <w:t xml:space="preserve">, Guo J. A stripe rust effector Pst18363 targets and stabilises TaNUDX23 that promotes stripe rust disease. </w:t>
            </w:r>
            <w:r>
              <w:rPr>
                <w:b/>
                <w:bCs/>
                <w:color w:val="000000"/>
                <w:kern w:val="0"/>
              </w:rPr>
              <w:t>New Phytologist</w:t>
            </w:r>
            <w:r>
              <w:rPr>
                <w:color w:val="000000"/>
                <w:kern w:val="0"/>
              </w:rPr>
              <w:t>, 2020, 225(2):880-895. IF</w:t>
            </w:r>
            <w:r>
              <w:rPr>
                <w:color w:val="000000"/>
                <w:kern w:val="0"/>
                <w:sz w:val="16"/>
                <w:szCs w:val="16"/>
              </w:rPr>
              <w:t>2022</w:t>
            </w:r>
            <w:r>
              <w:rPr>
                <w:color w:val="000000"/>
                <w:kern w:val="0"/>
              </w:rPr>
              <w:t>=</w:t>
            </w:r>
            <w:r>
              <w:rPr>
                <w:b/>
                <w:bCs/>
                <w:color w:val="000000"/>
                <w:kern w:val="0"/>
              </w:rPr>
              <w:t>9.4</w:t>
            </w:r>
            <w:r>
              <w:rPr>
                <w:color w:val="000000"/>
                <w:kern w:val="0"/>
              </w:rPr>
              <w:t xml:space="preserve">, </w:t>
            </w:r>
            <w:r>
              <w:rPr>
                <w:rFonts w:hint="eastAsia" w:ascii="宋体" w:cs="宋体"/>
                <w:color w:val="000000"/>
                <w:kern w:val="0"/>
              </w:rPr>
              <w:t>被引次数：</w:t>
            </w:r>
            <w:r>
              <w:rPr>
                <w:b/>
                <w:bCs/>
                <w:color w:val="000000"/>
                <w:kern w:val="0"/>
              </w:rPr>
              <w:t>56</w:t>
            </w:r>
          </w:p>
          <w:p w14:paraId="16D55ECD">
            <w:pPr>
              <w:autoSpaceDE w:val="0"/>
              <w:autoSpaceDN w:val="0"/>
              <w:adjustRightInd w:val="0"/>
              <w:snapToGrid w:val="0"/>
              <w:spacing w:after="120" w:afterLines="50"/>
              <w:rPr>
                <w:b/>
                <w:bCs/>
                <w:color w:val="000000"/>
                <w:kern w:val="0"/>
              </w:rPr>
            </w:pPr>
            <w:r>
              <w:rPr>
                <w:color w:val="000000"/>
                <w:kern w:val="0"/>
              </w:rPr>
              <w:t xml:space="preserve">12. Xu Q, Wang JF, Zhao JR, Xu JH, Sun ST, Zhang HF, Wu JJ, Tang CL, </w:t>
            </w:r>
            <w:r>
              <w:rPr>
                <w:b/>
                <w:bCs/>
                <w:color w:val="000000"/>
                <w:kern w:val="0"/>
              </w:rPr>
              <w:t>Kang ZS</w:t>
            </w:r>
            <w:r>
              <w:rPr>
                <w:color w:val="000000"/>
                <w:kern w:val="0"/>
              </w:rPr>
              <w:t xml:space="preserve">, Wang XJ. A polysaccharide deacetylase from </w:t>
            </w:r>
            <w:r>
              <w:rPr>
                <w:i/>
                <w:iCs/>
                <w:color w:val="000000"/>
                <w:kern w:val="0"/>
              </w:rPr>
              <w:t xml:space="preserve">Puccinia striiformis </w:t>
            </w:r>
            <w:r>
              <w:rPr>
                <w:color w:val="000000"/>
                <w:kern w:val="0"/>
              </w:rPr>
              <w:t xml:space="preserve">f. sp. </w:t>
            </w:r>
            <w:r>
              <w:rPr>
                <w:i/>
                <w:iCs/>
                <w:color w:val="000000"/>
                <w:kern w:val="0"/>
              </w:rPr>
              <w:t xml:space="preserve">tritici </w:t>
            </w:r>
            <w:r>
              <w:rPr>
                <w:color w:val="000000"/>
                <w:kern w:val="0"/>
              </w:rPr>
              <w:t xml:space="preserve">is an important pathogenicity gene that suppresses plant immunity. </w:t>
            </w:r>
            <w:r>
              <w:rPr>
                <w:b/>
                <w:bCs/>
                <w:color w:val="000000"/>
                <w:kern w:val="0"/>
              </w:rPr>
              <w:t>Plant Biotechnology Journal</w:t>
            </w:r>
            <w:r>
              <w:rPr>
                <w:color w:val="000000"/>
                <w:kern w:val="0"/>
              </w:rPr>
              <w:t>, 2020, 18(8):1830-42. IF</w:t>
            </w:r>
            <w:r>
              <w:rPr>
                <w:color w:val="000000"/>
                <w:kern w:val="0"/>
                <w:sz w:val="16"/>
                <w:szCs w:val="16"/>
              </w:rPr>
              <w:t>2022</w:t>
            </w:r>
            <w:r>
              <w:rPr>
                <w:color w:val="000000"/>
                <w:kern w:val="0"/>
              </w:rPr>
              <w:t>=</w:t>
            </w:r>
            <w:r>
              <w:rPr>
                <w:b/>
                <w:bCs/>
                <w:color w:val="000000"/>
                <w:kern w:val="0"/>
              </w:rPr>
              <w:t>13.8</w:t>
            </w:r>
            <w:r>
              <w:rPr>
                <w:color w:val="000000"/>
                <w:kern w:val="0"/>
              </w:rPr>
              <w:t xml:space="preserve">, </w:t>
            </w:r>
            <w:r>
              <w:rPr>
                <w:rFonts w:hint="eastAsia" w:ascii="宋体" w:cs="宋体"/>
                <w:color w:val="000000"/>
                <w:kern w:val="0"/>
              </w:rPr>
              <w:t>被引次数：</w:t>
            </w:r>
            <w:r>
              <w:rPr>
                <w:b/>
                <w:bCs/>
                <w:color w:val="000000"/>
                <w:kern w:val="0"/>
              </w:rPr>
              <w:t>27</w:t>
            </w:r>
          </w:p>
          <w:p w14:paraId="4CB8DE12">
            <w:pPr>
              <w:autoSpaceDE w:val="0"/>
              <w:autoSpaceDN w:val="0"/>
              <w:adjustRightInd w:val="0"/>
              <w:snapToGrid w:val="0"/>
              <w:spacing w:after="120" w:afterLines="50"/>
              <w:rPr>
                <w:rFonts w:ascii="宋体" w:cs="宋体"/>
                <w:color w:val="000000"/>
                <w:kern w:val="0"/>
              </w:rPr>
            </w:pPr>
            <w:r>
              <w:rPr>
                <w:color w:val="000000"/>
                <w:kern w:val="0"/>
              </w:rPr>
              <w:t xml:space="preserve">13. Xu Q, Tang CL, Wang XD, Sun ST, Zhao JR, </w:t>
            </w:r>
            <w:r>
              <w:rPr>
                <w:b/>
                <w:bCs/>
                <w:color w:val="000000"/>
                <w:kern w:val="0"/>
              </w:rPr>
              <w:t>Kang ZS</w:t>
            </w:r>
            <w:r>
              <w:rPr>
                <w:color w:val="000000"/>
                <w:kern w:val="0"/>
              </w:rPr>
              <w:t xml:space="preserve">, Wang XJ. An effector protein of the wheat stripe rust fungus targets chloroplasts and suppresses chloroplast function. </w:t>
            </w:r>
            <w:r>
              <w:rPr>
                <w:b/>
                <w:bCs/>
                <w:color w:val="000000"/>
                <w:kern w:val="0"/>
              </w:rPr>
              <w:t>Nature Communications</w:t>
            </w:r>
            <w:r>
              <w:rPr>
                <w:color w:val="000000"/>
                <w:kern w:val="0"/>
              </w:rPr>
              <w:t>, 2019, 10(1):5571. IF</w:t>
            </w:r>
            <w:r>
              <w:rPr>
                <w:color w:val="000000"/>
                <w:kern w:val="0"/>
                <w:sz w:val="16"/>
                <w:szCs w:val="16"/>
              </w:rPr>
              <w:t>2022</w:t>
            </w:r>
            <w:r>
              <w:rPr>
                <w:color w:val="000000"/>
                <w:kern w:val="0"/>
              </w:rPr>
              <w:t>=</w:t>
            </w:r>
            <w:r>
              <w:rPr>
                <w:b/>
                <w:bCs/>
                <w:color w:val="000000"/>
                <w:kern w:val="0"/>
              </w:rPr>
              <w:t>16.6</w:t>
            </w:r>
            <w:r>
              <w:rPr>
                <w:color w:val="000000"/>
                <w:kern w:val="0"/>
              </w:rPr>
              <w:t xml:space="preserve">, </w:t>
            </w:r>
            <w:r>
              <w:rPr>
                <w:rFonts w:hint="eastAsia" w:ascii="宋体" w:cs="宋体"/>
                <w:color w:val="000000"/>
                <w:kern w:val="0"/>
              </w:rPr>
              <w:t>被引次数：</w:t>
            </w:r>
            <w:r>
              <w:rPr>
                <w:b/>
                <w:bCs/>
                <w:color w:val="000000"/>
                <w:kern w:val="0"/>
              </w:rPr>
              <w:t>114</w:t>
            </w:r>
            <w:r>
              <w:rPr>
                <w:rFonts w:hint="eastAsia" w:ascii="宋体" w:cs="宋体"/>
                <w:color w:val="000000"/>
                <w:kern w:val="0"/>
              </w:rPr>
              <w:t>（高被引论文）</w:t>
            </w:r>
          </w:p>
          <w:p w14:paraId="00F9B9F0">
            <w:pPr>
              <w:autoSpaceDE w:val="0"/>
              <w:autoSpaceDN w:val="0"/>
              <w:adjustRightInd w:val="0"/>
              <w:snapToGrid w:val="0"/>
              <w:spacing w:after="120" w:afterLines="50"/>
              <w:rPr>
                <w:b/>
                <w:bCs/>
                <w:color w:val="000000"/>
                <w:kern w:val="0"/>
              </w:rPr>
            </w:pPr>
            <w:r>
              <w:rPr>
                <w:color w:val="000000"/>
                <w:kern w:val="0"/>
              </w:rPr>
              <w:t xml:space="preserve">14. Huai BY, Yang Q, Qian YR, Qian WH, </w:t>
            </w:r>
            <w:r>
              <w:rPr>
                <w:b/>
                <w:bCs/>
                <w:color w:val="000000"/>
                <w:kern w:val="0"/>
              </w:rPr>
              <w:t>Kang ZS</w:t>
            </w:r>
            <w:r>
              <w:rPr>
                <w:color w:val="000000"/>
                <w:kern w:val="0"/>
              </w:rPr>
              <w:t xml:space="preserve">, Liu J. ABA-induced sugar tTransporter TaSTP6 promotes wheat dusceptibility to dtripe rust. </w:t>
            </w:r>
            <w:r>
              <w:rPr>
                <w:b/>
                <w:bCs/>
                <w:color w:val="000000"/>
                <w:kern w:val="0"/>
              </w:rPr>
              <w:t>Plant Physiology</w:t>
            </w:r>
            <w:r>
              <w:rPr>
                <w:color w:val="000000"/>
                <w:kern w:val="0"/>
              </w:rPr>
              <w:t>, 2019, 181(3):1328-1343. IF</w:t>
            </w:r>
            <w:r>
              <w:rPr>
                <w:color w:val="000000"/>
                <w:kern w:val="0"/>
                <w:sz w:val="16"/>
                <w:szCs w:val="16"/>
              </w:rPr>
              <w:t>2022</w:t>
            </w:r>
            <w:r>
              <w:rPr>
                <w:color w:val="000000"/>
                <w:kern w:val="0"/>
              </w:rPr>
              <w:t>=</w:t>
            </w:r>
            <w:r>
              <w:rPr>
                <w:b/>
                <w:bCs/>
                <w:color w:val="000000"/>
                <w:kern w:val="0"/>
              </w:rPr>
              <w:t>7.4</w:t>
            </w:r>
            <w:r>
              <w:rPr>
                <w:color w:val="000000"/>
                <w:kern w:val="0"/>
              </w:rPr>
              <w:t xml:space="preserve">, </w:t>
            </w:r>
            <w:r>
              <w:rPr>
                <w:rFonts w:hint="eastAsia" w:ascii="宋体" w:cs="宋体"/>
                <w:color w:val="000000"/>
                <w:kern w:val="0"/>
              </w:rPr>
              <w:t>被引次数：</w:t>
            </w:r>
            <w:r>
              <w:rPr>
                <w:b/>
                <w:bCs/>
                <w:color w:val="000000"/>
                <w:kern w:val="0"/>
              </w:rPr>
              <w:t>42</w:t>
            </w:r>
          </w:p>
          <w:p w14:paraId="109BC964">
            <w:pPr>
              <w:autoSpaceDE w:val="0"/>
              <w:autoSpaceDN w:val="0"/>
              <w:adjustRightInd w:val="0"/>
              <w:snapToGrid w:val="0"/>
              <w:spacing w:after="120" w:afterLines="50"/>
              <w:rPr>
                <w:color w:val="000000"/>
                <w:kern w:val="0"/>
              </w:rPr>
            </w:pPr>
            <w:r>
              <w:rPr>
                <w:color w:val="000000"/>
                <w:kern w:val="0"/>
              </w:rPr>
              <w:t xml:space="preserve">15. Liu P, Guo J, Zhang RM, Zhao JX, Liu C, Qi T, Duan YH, </w:t>
            </w:r>
            <w:r>
              <w:rPr>
                <w:b/>
                <w:bCs/>
                <w:color w:val="000000"/>
                <w:kern w:val="0"/>
              </w:rPr>
              <w:t>Kang ZS</w:t>
            </w:r>
            <w:r>
              <w:rPr>
                <w:color w:val="000000"/>
                <w:kern w:val="0"/>
              </w:rPr>
              <w:t xml:space="preserve">, Guo J. TaCIPK10 interacts with and phosphorylates TaNH2 to activate wheat defense responses to stripe rust. </w:t>
            </w:r>
            <w:r>
              <w:rPr>
                <w:b/>
                <w:bCs/>
                <w:color w:val="000000"/>
                <w:kern w:val="0"/>
              </w:rPr>
              <w:t>Plant Biotechnology Journal</w:t>
            </w:r>
            <w:r>
              <w:rPr>
                <w:color w:val="000000"/>
                <w:kern w:val="0"/>
              </w:rPr>
              <w:t>, 2019, 17(5):956-968. IF</w:t>
            </w:r>
            <w:r>
              <w:rPr>
                <w:color w:val="000000"/>
                <w:kern w:val="0"/>
                <w:sz w:val="16"/>
                <w:szCs w:val="16"/>
              </w:rPr>
              <w:t>2022</w:t>
            </w:r>
            <w:r>
              <w:rPr>
                <w:color w:val="000000"/>
                <w:kern w:val="0"/>
              </w:rPr>
              <w:t>=</w:t>
            </w:r>
            <w:r>
              <w:rPr>
                <w:b/>
                <w:bCs/>
                <w:color w:val="000000"/>
                <w:kern w:val="0"/>
              </w:rPr>
              <w:t>13.8</w:t>
            </w:r>
            <w:r>
              <w:rPr>
                <w:color w:val="000000"/>
                <w:kern w:val="0"/>
              </w:rPr>
              <w:t xml:space="preserve">, </w:t>
            </w:r>
            <w:r>
              <w:rPr>
                <w:rFonts w:hint="eastAsia" w:ascii="宋体" w:cs="宋体"/>
                <w:color w:val="000000"/>
                <w:kern w:val="0"/>
              </w:rPr>
              <w:t>被引次数：</w:t>
            </w:r>
            <w:r>
              <w:rPr>
                <w:color w:val="000000"/>
                <w:kern w:val="0"/>
              </w:rPr>
              <w:t xml:space="preserve">33 </w:t>
            </w:r>
          </w:p>
          <w:p w14:paraId="71A83791">
            <w:pPr>
              <w:autoSpaceDE w:val="0"/>
              <w:autoSpaceDN w:val="0"/>
              <w:adjustRightInd w:val="0"/>
              <w:snapToGrid w:val="0"/>
              <w:spacing w:after="120" w:afterLines="50"/>
              <w:rPr>
                <w:b/>
                <w:bCs/>
                <w:color w:val="000000"/>
                <w:kern w:val="0"/>
              </w:rPr>
            </w:pPr>
            <w:r>
              <w:rPr>
                <w:color w:val="000000"/>
                <w:kern w:val="0"/>
              </w:rPr>
              <w:t xml:space="preserve">16. Qi T, Guo J, Liu P, He FX, Wan CP, Islam MA, Tyler BM, </w:t>
            </w:r>
            <w:r>
              <w:rPr>
                <w:b/>
                <w:bCs/>
                <w:color w:val="000000"/>
                <w:kern w:val="0"/>
              </w:rPr>
              <w:t>Kang ZS</w:t>
            </w:r>
            <w:r>
              <w:rPr>
                <w:color w:val="000000"/>
                <w:kern w:val="0"/>
              </w:rPr>
              <w:t xml:space="preserve">, Guo J. Stripe rust effector PstGSRE1 disrupts nuclear localization of ROS-promoting transcription gactor TaLOL2 to defeat ROS-induced defense in wheat. </w:t>
            </w:r>
            <w:r>
              <w:rPr>
                <w:b/>
                <w:bCs/>
                <w:color w:val="000000"/>
                <w:kern w:val="0"/>
              </w:rPr>
              <w:t>Molecular Plant</w:t>
            </w:r>
            <w:r>
              <w:rPr>
                <w:color w:val="000000"/>
                <w:kern w:val="0"/>
              </w:rPr>
              <w:t>, 2019, 12(12):1624-1638. IF</w:t>
            </w:r>
            <w:r>
              <w:rPr>
                <w:color w:val="000000"/>
                <w:kern w:val="0"/>
                <w:sz w:val="16"/>
                <w:szCs w:val="16"/>
              </w:rPr>
              <w:t>2022</w:t>
            </w:r>
            <w:r>
              <w:rPr>
                <w:color w:val="000000"/>
                <w:kern w:val="0"/>
              </w:rPr>
              <w:t>=</w:t>
            </w:r>
            <w:r>
              <w:rPr>
                <w:b/>
                <w:bCs/>
                <w:color w:val="000000"/>
                <w:kern w:val="0"/>
              </w:rPr>
              <w:t>27.5</w:t>
            </w:r>
            <w:r>
              <w:rPr>
                <w:color w:val="000000"/>
                <w:kern w:val="0"/>
              </w:rPr>
              <w:t xml:space="preserve">, </w:t>
            </w:r>
            <w:r>
              <w:rPr>
                <w:rFonts w:hint="eastAsia" w:ascii="宋体" w:cs="宋体"/>
                <w:color w:val="000000"/>
                <w:kern w:val="0"/>
              </w:rPr>
              <w:t>被引次数：</w:t>
            </w:r>
            <w:r>
              <w:rPr>
                <w:b/>
                <w:bCs/>
                <w:color w:val="000000"/>
                <w:kern w:val="0"/>
              </w:rPr>
              <w:t>85</w:t>
            </w:r>
          </w:p>
          <w:p w14:paraId="3390E181">
            <w:pPr>
              <w:autoSpaceDE w:val="0"/>
              <w:autoSpaceDN w:val="0"/>
              <w:adjustRightInd w:val="0"/>
              <w:snapToGrid w:val="0"/>
              <w:spacing w:after="120" w:afterLines="50"/>
              <w:rPr>
                <w:b/>
                <w:bCs/>
                <w:color w:val="000000"/>
                <w:kern w:val="0"/>
              </w:rPr>
            </w:pPr>
            <w:r>
              <w:rPr>
                <w:color w:val="000000"/>
                <w:kern w:val="0"/>
              </w:rPr>
              <w:t xml:space="preserve">17. Qi T, Zhu XG, Tan CL, Liu P, Guo J, </w:t>
            </w:r>
            <w:r>
              <w:rPr>
                <w:b/>
                <w:bCs/>
                <w:color w:val="000000"/>
                <w:kern w:val="0"/>
              </w:rPr>
              <w:t>Kang ZS</w:t>
            </w:r>
            <w:r>
              <w:rPr>
                <w:color w:val="000000"/>
                <w:kern w:val="0"/>
              </w:rPr>
              <w:t xml:space="preserve">, Guo J. Host-induced gene silencing of an important pathogenicity factor PsCPK1 in </w:t>
            </w:r>
            <w:r>
              <w:rPr>
                <w:i/>
                <w:iCs/>
                <w:color w:val="000000"/>
                <w:kern w:val="0"/>
              </w:rPr>
              <w:t xml:space="preserve">Puccinia striiformis </w:t>
            </w:r>
            <w:r>
              <w:rPr>
                <w:color w:val="000000"/>
                <w:kern w:val="0"/>
              </w:rPr>
              <w:t xml:space="preserve">f. sp </w:t>
            </w:r>
            <w:r>
              <w:rPr>
                <w:i/>
                <w:iCs/>
                <w:color w:val="000000"/>
                <w:kern w:val="0"/>
              </w:rPr>
              <w:t xml:space="preserve">tritici </w:t>
            </w:r>
            <w:r>
              <w:rPr>
                <w:color w:val="000000"/>
                <w:kern w:val="0"/>
              </w:rPr>
              <w:t xml:space="preserve">enhances resistance of wheat to stripe rust. </w:t>
            </w:r>
            <w:r>
              <w:rPr>
                <w:b/>
                <w:bCs/>
                <w:color w:val="000000"/>
                <w:kern w:val="0"/>
              </w:rPr>
              <w:t>Plant Biotechnology Journal</w:t>
            </w:r>
            <w:r>
              <w:rPr>
                <w:color w:val="000000"/>
                <w:kern w:val="0"/>
              </w:rPr>
              <w:t>, 2018, 16(3):797-807. IF</w:t>
            </w:r>
            <w:r>
              <w:rPr>
                <w:color w:val="000000"/>
                <w:kern w:val="0"/>
                <w:sz w:val="16"/>
                <w:szCs w:val="16"/>
              </w:rPr>
              <w:t>2022</w:t>
            </w:r>
            <w:r>
              <w:rPr>
                <w:color w:val="000000"/>
                <w:kern w:val="0"/>
              </w:rPr>
              <w:t>=</w:t>
            </w:r>
            <w:r>
              <w:rPr>
                <w:b/>
                <w:bCs/>
                <w:color w:val="000000"/>
                <w:kern w:val="0"/>
              </w:rPr>
              <w:t>13.8</w:t>
            </w:r>
            <w:r>
              <w:rPr>
                <w:color w:val="000000"/>
                <w:kern w:val="0"/>
              </w:rPr>
              <w:t xml:space="preserve">, </w:t>
            </w:r>
            <w:r>
              <w:rPr>
                <w:rFonts w:hint="eastAsia" w:ascii="宋体" w:cs="宋体"/>
                <w:color w:val="000000"/>
                <w:kern w:val="0"/>
              </w:rPr>
              <w:t>被引次数：</w:t>
            </w:r>
            <w:r>
              <w:rPr>
                <w:b/>
                <w:bCs/>
                <w:color w:val="000000"/>
                <w:kern w:val="0"/>
              </w:rPr>
              <w:t>72</w:t>
            </w:r>
          </w:p>
          <w:p w14:paraId="5915E370">
            <w:pPr>
              <w:autoSpaceDE w:val="0"/>
              <w:autoSpaceDN w:val="0"/>
              <w:adjustRightInd w:val="0"/>
              <w:snapToGrid w:val="0"/>
              <w:spacing w:after="120" w:afterLines="50"/>
              <w:rPr>
                <w:b/>
                <w:bCs/>
                <w:color w:val="000000"/>
                <w:kern w:val="0"/>
              </w:rPr>
            </w:pPr>
            <w:r>
              <w:rPr>
                <w:color w:val="000000"/>
                <w:kern w:val="0"/>
              </w:rPr>
              <w:t xml:space="preserve">18. Wang B, Sun YF, Song N, Zhao MX, Liu R, Feng H, Wang XJ, </w:t>
            </w:r>
            <w:r>
              <w:rPr>
                <w:b/>
                <w:bCs/>
                <w:color w:val="000000"/>
                <w:kern w:val="0"/>
              </w:rPr>
              <w:t>Kang ZS</w:t>
            </w:r>
            <w:r>
              <w:rPr>
                <w:color w:val="000000"/>
                <w:kern w:val="0"/>
              </w:rPr>
              <w:t xml:space="preserve">. </w:t>
            </w:r>
            <w:r>
              <w:rPr>
                <w:i/>
                <w:iCs/>
                <w:color w:val="000000"/>
                <w:kern w:val="0"/>
              </w:rPr>
              <w:t xml:space="preserve">Puccinia striiformis </w:t>
            </w:r>
            <w:r>
              <w:rPr>
                <w:color w:val="000000"/>
                <w:kern w:val="0"/>
              </w:rPr>
              <w:t xml:space="preserve">f. sp. </w:t>
            </w:r>
            <w:r>
              <w:rPr>
                <w:i/>
                <w:iCs/>
                <w:color w:val="000000"/>
                <w:kern w:val="0"/>
              </w:rPr>
              <w:t xml:space="preserve">tritici </w:t>
            </w:r>
            <w:r>
              <w:rPr>
                <w:color w:val="000000"/>
                <w:kern w:val="0"/>
              </w:rPr>
              <w:t xml:space="preserve">microRNA-like RNA 1 (Pst-milR1), an important pathogenicity factor of </w:t>
            </w:r>
            <w:r>
              <w:rPr>
                <w:i/>
                <w:iCs/>
                <w:color w:val="000000"/>
                <w:kern w:val="0"/>
              </w:rPr>
              <w:t>Pst</w:t>
            </w:r>
            <w:r>
              <w:rPr>
                <w:color w:val="000000"/>
                <w:kern w:val="0"/>
              </w:rPr>
              <w:t xml:space="preserve">, impairs wheat resistance to </w:t>
            </w:r>
            <w:r>
              <w:rPr>
                <w:i/>
                <w:iCs/>
                <w:color w:val="000000"/>
                <w:kern w:val="0"/>
              </w:rPr>
              <w:t xml:space="preserve">Pst </w:t>
            </w:r>
            <w:r>
              <w:rPr>
                <w:color w:val="000000"/>
                <w:kern w:val="0"/>
              </w:rPr>
              <w:t xml:space="preserve">by suppressing the wheat pathogenesis-related 2 gene. </w:t>
            </w:r>
            <w:r>
              <w:rPr>
                <w:b/>
                <w:bCs/>
                <w:color w:val="000000"/>
                <w:kern w:val="0"/>
              </w:rPr>
              <w:t>New Phytologist</w:t>
            </w:r>
            <w:r>
              <w:rPr>
                <w:color w:val="000000"/>
                <w:kern w:val="0"/>
              </w:rPr>
              <w:t>, 2017, 215(1):338-350. IF</w:t>
            </w:r>
            <w:r>
              <w:rPr>
                <w:color w:val="000000"/>
                <w:kern w:val="0"/>
                <w:sz w:val="16"/>
                <w:szCs w:val="16"/>
              </w:rPr>
              <w:t>2022</w:t>
            </w:r>
            <w:r>
              <w:rPr>
                <w:color w:val="000000"/>
                <w:kern w:val="0"/>
              </w:rPr>
              <w:t>=</w:t>
            </w:r>
            <w:r>
              <w:rPr>
                <w:b/>
                <w:bCs/>
                <w:color w:val="000000"/>
                <w:kern w:val="0"/>
              </w:rPr>
              <w:t>9.4</w:t>
            </w:r>
            <w:r>
              <w:rPr>
                <w:color w:val="000000"/>
                <w:kern w:val="0"/>
              </w:rPr>
              <w:t xml:space="preserve">, </w:t>
            </w:r>
            <w:r>
              <w:rPr>
                <w:rFonts w:hint="eastAsia" w:ascii="宋体" w:cs="宋体"/>
                <w:color w:val="000000"/>
                <w:kern w:val="0"/>
              </w:rPr>
              <w:t>被引次数：</w:t>
            </w:r>
            <w:r>
              <w:rPr>
                <w:b/>
                <w:bCs/>
                <w:color w:val="000000"/>
                <w:kern w:val="0"/>
              </w:rPr>
              <w:t>115</w:t>
            </w:r>
          </w:p>
          <w:p w14:paraId="2D67B6F0">
            <w:pPr>
              <w:autoSpaceDE w:val="0"/>
              <w:autoSpaceDN w:val="0"/>
              <w:adjustRightInd w:val="0"/>
              <w:snapToGrid w:val="0"/>
              <w:spacing w:after="120" w:afterLines="50"/>
              <w:rPr>
                <w:b/>
                <w:bCs/>
                <w:color w:val="000000"/>
                <w:kern w:val="0"/>
              </w:rPr>
            </w:pPr>
            <w:r>
              <w:rPr>
                <w:color w:val="000000"/>
                <w:kern w:val="0"/>
              </w:rPr>
              <w:t xml:space="preserve">19. Chang Q, Liu J, Lin XH, Hu SJ, Yang Y, Li D, Chen LY, Huai BY, Huang LL, Voegele RT, </w:t>
            </w:r>
            <w:r>
              <w:rPr>
                <w:b/>
                <w:bCs/>
                <w:color w:val="000000"/>
                <w:kern w:val="0"/>
              </w:rPr>
              <w:t>Kang ZS</w:t>
            </w:r>
            <w:r>
              <w:rPr>
                <w:color w:val="000000"/>
                <w:kern w:val="0"/>
              </w:rPr>
              <w:t xml:space="preserve">. A unique invertase is important for sugar absorption of an obligate biotrophic pathogen during infection. </w:t>
            </w:r>
            <w:r>
              <w:rPr>
                <w:b/>
                <w:bCs/>
                <w:color w:val="000000"/>
                <w:kern w:val="0"/>
              </w:rPr>
              <w:t>New Phytologist</w:t>
            </w:r>
            <w:r>
              <w:rPr>
                <w:color w:val="000000"/>
                <w:kern w:val="0"/>
              </w:rPr>
              <w:t>, 2017, 215(4):1548-1561. IF</w:t>
            </w:r>
            <w:r>
              <w:rPr>
                <w:color w:val="000000"/>
                <w:kern w:val="0"/>
                <w:sz w:val="16"/>
                <w:szCs w:val="16"/>
              </w:rPr>
              <w:t>2022</w:t>
            </w:r>
            <w:r>
              <w:rPr>
                <w:color w:val="000000"/>
                <w:kern w:val="0"/>
              </w:rPr>
              <w:t>=</w:t>
            </w:r>
            <w:r>
              <w:rPr>
                <w:b/>
                <w:bCs/>
                <w:color w:val="000000"/>
                <w:kern w:val="0"/>
              </w:rPr>
              <w:t>9.4</w:t>
            </w:r>
            <w:r>
              <w:rPr>
                <w:color w:val="000000"/>
                <w:kern w:val="0"/>
              </w:rPr>
              <w:t xml:space="preserve">, </w:t>
            </w:r>
            <w:r>
              <w:rPr>
                <w:rFonts w:hint="eastAsia" w:ascii="宋体" w:cs="宋体"/>
                <w:color w:val="000000"/>
                <w:kern w:val="0"/>
              </w:rPr>
              <w:t>被引次数：</w:t>
            </w:r>
            <w:r>
              <w:rPr>
                <w:b/>
                <w:bCs/>
                <w:color w:val="000000"/>
                <w:kern w:val="0"/>
              </w:rPr>
              <w:t>35</w:t>
            </w:r>
          </w:p>
          <w:p w14:paraId="2E91EF6F">
            <w:pPr>
              <w:autoSpaceDE w:val="0"/>
              <w:autoSpaceDN w:val="0"/>
              <w:adjustRightInd w:val="0"/>
              <w:snapToGrid w:val="0"/>
              <w:spacing w:after="120" w:afterLines="50"/>
              <w:rPr>
                <w:b/>
                <w:bCs/>
                <w:color w:val="000000"/>
                <w:kern w:val="0"/>
              </w:rPr>
            </w:pPr>
            <w:r>
              <w:rPr>
                <w:color w:val="000000"/>
                <w:kern w:val="0"/>
              </w:rPr>
              <w:t xml:space="preserve">20. Zhao J, Wang MN, Chen XM, </w:t>
            </w:r>
            <w:r>
              <w:rPr>
                <w:b/>
                <w:bCs/>
                <w:color w:val="000000"/>
                <w:kern w:val="0"/>
              </w:rPr>
              <w:t>Kang ZS</w:t>
            </w:r>
            <w:r>
              <w:rPr>
                <w:color w:val="000000"/>
                <w:kern w:val="0"/>
              </w:rPr>
              <w:t xml:space="preserve">. Role of alternate hosts in epidemiology and pathogen variation of cereal rusts. In: Leach JE, Lindow S, editors. </w:t>
            </w:r>
            <w:r>
              <w:rPr>
                <w:b/>
                <w:bCs/>
                <w:color w:val="000000"/>
                <w:kern w:val="0"/>
              </w:rPr>
              <w:t>Annual Review of Phytopathology</w:t>
            </w:r>
            <w:r>
              <w:rPr>
                <w:color w:val="000000"/>
                <w:kern w:val="0"/>
              </w:rPr>
              <w:t>, 2016, 54:207-228. IF</w:t>
            </w:r>
            <w:r>
              <w:rPr>
                <w:color w:val="000000"/>
                <w:kern w:val="0"/>
                <w:sz w:val="16"/>
                <w:szCs w:val="16"/>
              </w:rPr>
              <w:t>2022</w:t>
            </w:r>
            <w:r>
              <w:rPr>
                <w:color w:val="000000"/>
                <w:kern w:val="0"/>
              </w:rPr>
              <w:t>=</w:t>
            </w:r>
            <w:r>
              <w:rPr>
                <w:b/>
                <w:bCs/>
                <w:color w:val="000000"/>
                <w:kern w:val="0"/>
              </w:rPr>
              <w:t>10.2</w:t>
            </w:r>
            <w:r>
              <w:rPr>
                <w:color w:val="000000"/>
                <w:kern w:val="0"/>
              </w:rPr>
              <w:t xml:space="preserve">, </w:t>
            </w:r>
            <w:r>
              <w:rPr>
                <w:rFonts w:hint="eastAsia" w:ascii="宋体" w:cs="宋体"/>
                <w:color w:val="000000"/>
                <w:kern w:val="0"/>
              </w:rPr>
              <w:t>被引次数：</w:t>
            </w:r>
            <w:r>
              <w:rPr>
                <w:b/>
                <w:bCs/>
                <w:color w:val="000000"/>
                <w:kern w:val="0"/>
              </w:rPr>
              <w:t>89</w:t>
            </w:r>
          </w:p>
          <w:p w14:paraId="64AA2FF7">
            <w:pPr>
              <w:autoSpaceDE w:val="0"/>
              <w:autoSpaceDN w:val="0"/>
              <w:adjustRightInd w:val="0"/>
              <w:snapToGrid w:val="0"/>
              <w:spacing w:after="120" w:afterLines="50"/>
              <w:rPr>
                <w:b/>
                <w:bCs/>
                <w:color w:val="000000"/>
                <w:kern w:val="0"/>
              </w:rPr>
            </w:pPr>
            <w:r>
              <w:rPr>
                <w:color w:val="000000"/>
                <w:kern w:val="0"/>
              </w:rPr>
              <w:t xml:space="preserve">21. Feng H, Duan XY, Zhang Q, Li XR, Wang B, Huang LL, Wang XJ, </w:t>
            </w:r>
            <w:r>
              <w:rPr>
                <w:b/>
                <w:bCs/>
                <w:color w:val="000000"/>
                <w:kern w:val="0"/>
              </w:rPr>
              <w:t>Kang ZS</w:t>
            </w:r>
            <w:r>
              <w:rPr>
                <w:color w:val="000000"/>
                <w:kern w:val="0"/>
              </w:rPr>
              <w:t xml:space="preserve">. The target gene of tae-miR164, a novel NAC transcription factor from the NAM subfamily, negatively regulates resistance of wheat to stripe rust. </w:t>
            </w:r>
            <w:r>
              <w:rPr>
                <w:b/>
                <w:bCs/>
                <w:color w:val="000000"/>
                <w:kern w:val="0"/>
              </w:rPr>
              <w:t>Molecular Plant Pathology</w:t>
            </w:r>
            <w:r>
              <w:rPr>
                <w:color w:val="000000"/>
                <w:kern w:val="0"/>
              </w:rPr>
              <w:t>, 2014, 15(3):284-296. IF</w:t>
            </w:r>
            <w:r>
              <w:rPr>
                <w:color w:val="000000"/>
                <w:kern w:val="0"/>
                <w:sz w:val="16"/>
                <w:szCs w:val="16"/>
              </w:rPr>
              <w:t>2022</w:t>
            </w:r>
            <w:r>
              <w:rPr>
                <w:color w:val="000000"/>
                <w:kern w:val="0"/>
              </w:rPr>
              <w:t>=</w:t>
            </w:r>
            <w:r>
              <w:rPr>
                <w:b/>
                <w:bCs/>
                <w:color w:val="000000"/>
                <w:kern w:val="0"/>
              </w:rPr>
              <w:t>4.9</w:t>
            </w:r>
            <w:r>
              <w:rPr>
                <w:color w:val="000000"/>
                <w:kern w:val="0"/>
              </w:rPr>
              <w:t xml:space="preserve">, </w:t>
            </w:r>
            <w:r>
              <w:rPr>
                <w:rFonts w:hint="eastAsia" w:ascii="宋体" w:cs="宋体"/>
                <w:color w:val="000000"/>
                <w:kern w:val="0"/>
              </w:rPr>
              <w:t>被引次数：</w:t>
            </w:r>
            <w:r>
              <w:rPr>
                <w:b/>
                <w:bCs/>
                <w:color w:val="000000"/>
                <w:kern w:val="0"/>
              </w:rPr>
              <w:t>116</w:t>
            </w:r>
          </w:p>
          <w:p w14:paraId="23E810E6">
            <w:pPr>
              <w:autoSpaceDE w:val="0"/>
              <w:autoSpaceDN w:val="0"/>
              <w:adjustRightInd w:val="0"/>
              <w:snapToGrid w:val="0"/>
              <w:spacing w:after="120" w:afterLines="50"/>
              <w:rPr>
                <w:b/>
                <w:bCs/>
                <w:color w:val="000000"/>
                <w:kern w:val="0"/>
              </w:rPr>
            </w:pPr>
            <w:r>
              <w:rPr>
                <w:color w:val="000000"/>
                <w:kern w:val="0"/>
              </w:rPr>
              <w:t xml:space="preserve">22. Zhao J, Wang L, Wang ZY, Chen XM, Zhang HC, Yao JN, Zhan GM, Chen W, Huang LL, </w:t>
            </w:r>
            <w:r>
              <w:rPr>
                <w:b/>
                <w:bCs/>
                <w:color w:val="000000"/>
                <w:kern w:val="0"/>
              </w:rPr>
              <w:t>Kang ZS</w:t>
            </w:r>
            <w:r>
              <w:rPr>
                <w:color w:val="000000"/>
                <w:kern w:val="0"/>
              </w:rPr>
              <w:t xml:space="preserve">. Identification of eighteen berberis species as alternate hosts of </w:t>
            </w:r>
            <w:r>
              <w:rPr>
                <w:i/>
                <w:iCs/>
                <w:color w:val="000000"/>
                <w:kern w:val="0"/>
              </w:rPr>
              <w:t xml:space="preserve">Puccinia striiformis </w:t>
            </w:r>
            <w:r>
              <w:rPr>
                <w:color w:val="000000"/>
                <w:kern w:val="0"/>
              </w:rPr>
              <w:t xml:space="preserve">f. sp </w:t>
            </w:r>
            <w:r>
              <w:rPr>
                <w:i/>
                <w:iCs/>
                <w:color w:val="000000"/>
                <w:kern w:val="0"/>
              </w:rPr>
              <w:t xml:space="preserve">tritici </w:t>
            </w:r>
            <w:r>
              <w:rPr>
                <w:color w:val="000000"/>
                <w:kern w:val="0"/>
              </w:rPr>
              <w:t xml:space="preserve">and virulence variation in the pathogen isolates from natural infection of barberry plants in China. </w:t>
            </w:r>
            <w:r>
              <w:rPr>
                <w:b/>
                <w:bCs/>
                <w:color w:val="000000"/>
                <w:kern w:val="0"/>
              </w:rPr>
              <w:t>Phytopathology</w:t>
            </w:r>
            <w:r>
              <w:rPr>
                <w:color w:val="000000"/>
                <w:kern w:val="0"/>
              </w:rPr>
              <w:t>, 2013, 103(9):927-934. IF</w:t>
            </w:r>
            <w:r>
              <w:rPr>
                <w:color w:val="000000"/>
                <w:kern w:val="0"/>
                <w:sz w:val="16"/>
                <w:szCs w:val="16"/>
              </w:rPr>
              <w:t>2022</w:t>
            </w:r>
            <w:r>
              <w:rPr>
                <w:color w:val="000000"/>
                <w:kern w:val="0"/>
              </w:rPr>
              <w:t>=</w:t>
            </w:r>
            <w:r>
              <w:rPr>
                <w:b/>
                <w:bCs/>
                <w:color w:val="000000"/>
                <w:kern w:val="0"/>
              </w:rPr>
              <w:t>3.2</w:t>
            </w:r>
            <w:r>
              <w:rPr>
                <w:color w:val="000000"/>
                <w:kern w:val="0"/>
              </w:rPr>
              <w:t xml:space="preserve">, </w:t>
            </w:r>
            <w:r>
              <w:rPr>
                <w:rFonts w:hint="eastAsia" w:ascii="宋体" w:cs="宋体"/>
                <w:color w:val="000000"/>
                <w:kern w:val="0"/>
              </w:rPr>
              <w:t>被引次数：</w:t>
            </w:r>
            <w:r>
              <w:rPr>
                <w:b/>
                <w:bCs/>
                <w:color w:val="000000"/>
                <w:kern w:val="0"/>
              </w:rPr>
              <w:t>109</w:t>
            </w:r>
          </w:p>
          <w:p w14:paraId="7B641493">
            <w:pPr>
              <w:autoSpaceDE w:val="0"/>
              <w:autoSpaceDN w:val="0"/>
              <w:adjustRightInd w:val="0"/>
              <w:snapToGrid w:val="0"/>
              <w:spacing w:after="120" w:afterLines="50"/>
              <w:rPr>
                <w:b/>
                <w:bCs/>
                <w:color w:val="000000"/>
                <w:kern w:val="0"/>
              </w:rPr>
            </w:pPr>
            <w:r>
              <w:rPr>
                <w:color w:val="000000"/>
                <w:kern w:val="0"/>
              </w:rPr>
              <w:t xml:space="preserve">23. Zheng WM, Huang LL, Huang JQ, Wang XJ, Chen XM, Zhao J, Guo J, Zhuang H, Qiu CZ, Liu J, Liu HQ, Huang XL, Pei GL, Zhan GM, Tang CL, Cheng YL, Liu M, Zhang JS, Zhao ZT, Zhang SJ, Han QM, Han DJ, Zhang HC, Zhao J, Gao XN, Wang JF, Ni PX, Dong W, Yang LF, Yang HM, Xu JR, Zhang GY, </w:t>
            </w:r>
            <w:r>
              <w:rPr>
                <w:b/>
                <w:bCs/>
                <w:color w:val="000000"/>
                <w:kern w:val="0"/>
              </w:rPr>
              <w:t>Kang ZS</w:t>
            </w:r>
            <w:r>
              <w:rPr>
                <w:color w:val="000000"/>
                <w:kern w:val="0"/>
              </w:rPr>
              <w:t xml:space="preserve">. High genome heterozygosity and endemic genetic recombination in the wheat stripe rust fungus. </w:t>
            </w:r>
            <w:r>
              <w:rPr>
                <w:b/>
                <w:bCs/>
                <w:color w:val="000000"/>
                <w:kern w:val="0"/>
              </w:rPr>
              <w:t>Nature Communications</w:t>
            </w:r>
            <w:r>
              <w:rPr>
                <w:color w:val="000000"/>
                <w:kern w:val="0"/>
              </w:rPr>
              <w:t>, 2013, 4:2673. IF</w:t>
            </w:r>
            <w:r>
              <w:rPr>
                <w:color w:val="000000"/>
                <w:kern w:val="0"/>
                <w:sz w:val="16"/>
                <w:szCs w:val="16"/>
              </w:rPr>
              <w:t>2022</w:t>
            </w:r>
            <w:r>
              <w:rPr>
                <w:color w:val="000000"/>
                <w:kern w:val="0"/>
              </w:rPr>
              <w:t>=</w:t>
            </w:r>
            <w:r>
              <w:rPr>
                <w:b/>
                <w:bCs/>
                <w:color w:val="000000"/>
                <w:kern w:val="0"/>
              </w:rPr>
              <w:t>16.6</w:t>
            </w:r>
            <w:r>
              <w:rPr>
                <w:color w:val="000000"/>
                <w:kern w:val="0"/>
              </w:rPr>
              <w:t xml:space="preserve">, </w:t>
            </w:r>
            <w:r>
              <w:rPr>
                <w:rFonts w:hint="eastAsia" w:ascii="宋体" w:cs="宋体"/>
                <w:color w:val="000000"/>
                <w:kern w:val="0"/>
              </w:rPr>
              <w:t>被引次数：</w:t>
            </w:r>
            <w:r>
              <w:rPr>
                <w:b/>
                <w:bCs/>
                <w:color w:val="000000"/>
                <w:kern w:val="0"/>
              </w:rPr>
              <w:t>165</w:t>
            </w:r>
          </w:p>
          <w:p w14:paraId="68293A4E">
            <w:pPr>
              <w:autoSpaceDE w:val="0"/>
              <w:autoSpaceDN w:val="0"/>
              <w:adjustRightInd w:val="0"/>
              <w:snapToGrid w:val="0"/>
              <w:spacing w:after="120" w:afterLines="50"/>
              <w:rPr>
                <w:b/>
                <w:bCs/>
                <w:color w:val="000000"/>
                <w:kern w:val="0"/>
              </w:rPr>
            </w:pPr>
            <w:r>
              <w:rPr>
                <w:color w:val="000000"/>
                <w:kern w:val="0"/>
              </w:rPr>
              <w:t xml:space="preserve">24. Wang X, Tang C, Huang X, Li F, Chen X, Zhang G, Sun Y, Han D, </w:t>
            </w:r>
            <w:r>
              <w:rPr>
                <w:b/>
                <w:bCs/>
                <w:color w:val="000000"/>
                <w:kern w:val="0"/>
              </w:rPr>
              <w:t>Kang Z</w:t>
            </w:r>
            <w:r>
              <w:rPr>
                <w:color w:val="000000"/>
                <w:kern w:val="0"/>
              </w:rPr>
              <w:t xml:space="preserve">. Wheat BAX inhibitor-1 contributes to wheat resistance to </w:t>
            </w:r>
            <w:r>
              <w:rPr>
                <w:i/>
                <w:iCs/>
                <w:color w:val="000000"/>
                <w:kern w:val="0"/>
              </w:rPr>
              <w:t>Puccinia striiformis</w:t>
            </w:r>
            <w:r>
              <w:rPr>
                <w:color w:val="000000"/>
                <w:kern w:val="0"/>
              </w:rPr>
              <w:t xml:space="preserve">. </w:t>
            </w:r>
            <w:r>
              <w:rPr>
                <w:b/>
                <w:bCs/>
                <w:color w:val="000000"/>
                <w:kern w:val="0"/>
              </w:rPr>
              <w:t>Journal of Experimental Botany</w:t>
            </w:r>
            <w:r>
              <w:rPr>
                <w:color w:val="000000"/>
                <w:kern w:val="0"/>
              </w:rPr>
              <w:t>, 2012, 63(12):4571-84. IF</w:t>
            </w:r>
            <w:r>
              <w:rPr>
                <w:color w:val="000000"/>
                <w:kern w:val="0"/>
                <w:sz w:val="16"/>
                <w:szCs w:val="16"/>
              </w:rPr>
              <w:t>2022</w:t>
            </w:r>
            <w:r>
              <w:rPr>
                <w:color w:val="000000"/>
                <w:kern w:val="0"/>
              </w:rPr>
              <w:t>=</w:t>
            </w:r>
            <w:r>
              <w:rPr>
                <w:b/>
                <w:bCs/>
                <w:color w:val="000000"/>
                <w:kern w:val="0"/>
              </w:rPr>
              <w:t>6.9</w:t>
            </w:r>
            <w:r>
              <w:rPr>
                <w:color w:val="000000"/>
                <w:kern w:val="0"/>
              </w:rPr>
              <w:t xml:space="preserve">, </w:t>
            </w:r>
            <w:r>
              <w:rPr>
                <w:rFonts w:hint="eastAsia" w:ascii="宋体" w:cs="宋体"/>
                <w:color w:val="000000"/>
                <w:kern w:val="0"/>
              </w:rPr>
              <w:t>被引次数：</w:t>
            </w:r>
            <w:r>
              <w:rPr>
                <w:b/>
                <w:bCs/>
                <w:color w:val="000000"/>
                <w:kern w:val="0"/>
              </w:rPr>
              <w:t xml:space="preserve">50 </w:t>
            </w:r>
          </w:p>
          <w:p w14:paraId="61B917E3">
            <w:pPr>
              <w:autoSpaceDE w:val="0"/>
              <w:autoSpaceDN w:val="0"/>
              <w:adjustRightInd w:val="0"/>
              <w:snapToGrid w:val="0"/>
              <w:spacing w:after="120" w:afterLines="50"/>
              <w:rPr>
                <w:b/>
                <w:bCs/>
                <w:color w:val="000000"/>
                <w:kern w:val="0"/>
              </w:rPr>
            </w:pPr>
            <w:r>
              <w:rPr>
                <w:color w:val="000000"/>
                <w:kern w:val="0"/>
              </w:rPr>
              <w:t xml:space="preserve">25. Wang C, Zhang S, Hou R, Zhao Z, Zheng Q, Xu Q, Zheng D, Wang G, Liu H, Gao X, Ma JW, Kistler HC, </w:t>
            </w:r>
            <w:r>
              <w:rPr>
                <w:b/>
                <w:bCs/>
                <w:color w:val="000000"/>
                <w:kern w:val="0"/>
              </w:rPr>
              <w:t>Kang Z</w:t>
            </w:r>
            <w:r>
              <w:rPr>
                <w:color w:val="000000"/>
                <w:kern w:val="0"/>
              </w:rPr>
              <w:t xml:space="preserve">, Xu JR. Functional analysis of the kinome of the wheat scab fungus </w:t>
            </w:r>
            <w:r>
              <w:rPr>
                <w:i/>
                <w:iCs/>
                <w:color w:val="000000"/>
                <w:kern w:val="0"/>
              </w:rPr>
              <w:t>Fusarium graminearum</w:t>
            </w:r>
            <w:r>
              <w:rPr>
                <w:color w:val="000000"/>
                <w:kern w:val="0"/>
              </w:rPr>
              <w:t xml:space="preserve">. </w:t>
            </w:r>
            <w:r>
              <w:rPr>
                <w:b/>
                <w:bCs/>
                <w:color w:val="000000"/>
                <w:kern w:val="0"/>
              </w:rPr>
              <w:t>PLoS Pathogens</w:t>
            </w:r>
            <w:r>
              <w:rPr>
                <w:color w:val="000000"/>
                <w:kern w:val="0"/>
              </w:rPr>
              <w:t>, 2011, 7(12):e1002460. IF</w:t>
            </w:r>
            <w:r>
              <w:rPr>
                <w:color w:val="000000"/>
                <w:kern w:val="0"/>
                <w:sz w:val="16"/>
                <w:szCs w:val="16"/>
              </w:rPr>
              <w:t>2022</w:t>
            </w:r>
            <w:r>
              <w:rPr>
                <w:color w:val="000000"/>
                <w:kern w:val="0"/>
              </w:rPr>
              <w:t>=</w:t>
            </w:r>
            <w:r>
              <w:rPr>
                <w:b/>
                <w:bCs/>
                <w:color w:val="000000"/>
                <w:kern w:val="0"/>
              </w:rPr>
              <w:t>6.7</w:t>
            </w:r>
            <w:r>
              <w:rPr>
                <w:color w:val="000000"/>
                <w:kern w:val="0"/>
              </w:rPr>
              <w:t xml:space="preserve">, </w:t>
            </w:r>
            <w:r>
              <w:rPr>
                <w:rFonts w:hint="eastAsia" w:ascii="宋体" w:cs="宋体"/>
                <w:color w:val="000000"/>
                <w:kern w:val="0"/>
              </w:rPr>
              <w:t>被引次数：</w:t>
            </w:r>
            <w:r>
              <w:rPr>
                <w:b/>
                <w:bCs/>
                <w:color w:val="000000"/>
                <w:kern w:val="0"/>
              </w:rPr>
              <w:t>251</w:t>
            </w:r>
          </w:p>
          <w:p w14:paraId="550BB2AD">
            <w:pPr>
              <w:autoSpaceDE w:val="0"/>
              <w:autoSpaceDN w:val="0"/>
              <w:adjustRightInd w:val="0"/>
              <w:snapToGrid w:val="0"/>
              <w:spacing w:after="120" w:afterLines="50"/>
              <w:rPr>
                <w:b/>
                <w:bCs/>
                <w:color w:val="000000"/>
                <w:kern w:val="0"/>
              </w:rPr>
            </w:pPr>
            <w:r>
              <w:rPr>
                <w:color w:val="000000"/>
                <w:kern w:val="0"/>
              </w:rPr>
              <w:t xml:space="preserve">26. Xia N, Zhang G, Liu XY, Deng L, Cai GL, Zhang Y, Wang XJ, Zhao J, Huang LL, </w:t>
            </w:r>
            <w:r>
              <w:rPr>
                <w:b/>
                <w:bCs/>
                <w:color w:val="000000"/>
                <w:kern w:val="0"/>
              </w:rPr>
              <w:t>Kang ZS</w:t>
            </w:r>
            <w:r>
              <w:rPr>
                <w:color w:val="000000"/>
                <w:kern w:val="0"/>
              </w:rPr>
              <w:t xml:space="preserve">. Characterization of a novel wheat NAC transcription factor gene involved in defense response against stripe rust pathogen infection and abiotic stresses. </w:t>
            </w:r>
            <w:r>
              <w:rPr>
                <w:b/>
                <w:bCs/>
                <w:color w:val="000000"/>
                <w:kern w:val="0"/>
              </w:rPr>
              <w:t>Molecular Biology Reports</w:t>
            </w:r>
            <w:r>
              <w:rPr>
                <w:color w:val="000000"/>
                <w:kern w:val="0"/>
              </w:rPr>
              <w:t>, 2010, 37(8):3703-3712. IF</w:t>
            </w:r>
            <w:r>
              <w:rPr>
                <w:color w:val="000000"/>
                <w:kern w:val="0"/>
                <w:sz w:val="16"/>
                <w:szCs w:val="16"/>
              </w:rPr>
              <w:t>2022</w:t>
            </w:r>
            <w:r>
              <w:rPr>
                <w:color w:val="000000"/>
                <w:kern w:val="0"/>
              </w:rPr>
              <w:t>=</w:t>
            </w:r>
            <w:r>
              <w:rPr>
                <w:b/>
                <w:bCs/>
                <w:color w:val="000000"/>
                <w:kern w:val="0"/>
              </w:rPr>
              <w:t>2.8</w:t>
            </w:r>
            <w:r>
              <w:rPr>
                <w:color w:val="000000"/>
                <w:kern w:val="0"/>
              </w:rPr>
              <w:t xml:space="preserve">, </w:t>
            </w:r>
            <w:r>
              <w:rPr>
                <w:rFonts w:hint="eastAsia" w:ascii="宋体" w:cs="宋体"/>
                <w:color w:val="000000"/>
                <w:kern w:val="0"/>
              </w:rPr>
              <w:t>被引次数：</w:t>
            </w:r>
            <w:r>
              <w:rPr>
                <w:b/>
                <w:bCs/>
                <w:color w:val="000000"/>
                <w:kern w:val="0"/>
              </w:rPr>
              <w:t>158</w:t>
            </w:r>
          </w:p>
          <w:p w14:paraId="3093092C">
            <w:pPr>
              <w:autoSpaceDE w:val="0"/>
              <w:autoSpaceDN w:val="0"/>
              <w:adjustRightInd w:val="0"/>
              <w:snapToGrid w:val="0"/>
              <w:spacing w:after="120" w:afterLines="50"/>
              <w:rPr>
                <w:b/>
                <w:bCs/>
                <w:color w:val="000000"/>
                <w:kern w:val="0"/>
              </w:rPr>
            </w:pPr>
            <w:r>
              <w:rPr>
                <w:color w:val="000000"/>
                <w:kern w:val="0"/>
              </w:rPr>
              <w:t xml:space="preserve">27. Wang X, Liu W, Chen X, Tang C, Dong Y, Ma J, Huang X, Wei G, Han Q, Huang L, </w:t>
            </w:r>
            <w:r>
              <w:rPr>
                <w:b/>
                <w:bCs/>
                <w:color w:val="000000"/>
                <w:kern w:val="0"/>
              </w:rPr>
              <w:t>Kang Z</w:t>
            </w:r>
            <w:r>
              <w:rPr>
                <w:color w:val="000000"/>
                <w:kern w:val="0"/>
              </w:rPr>
              <w:t xml:space="preserve">. Differential gene expression in incompatible interaction between wheat and stripe rust fungus revealed by cDNA-AFLP and comparison to compatible interaction. </w:t>
            </w:r>
            <w:r>
              <w:rPr>
                <w:b/>
                <w:bCs/>
                <w:color w:val="000000"/>
                <w:kern w:val="0"/>
              </w:rPr>
              <w:t>BMC Plant Biology</w:t>
            </w:r>
            <w:r>
              <w:rPr>
                <w:color w:val="000000"/>
                <w:kern w:val="0"/>
              </w:rPr>
              <w:t>, 2010, 10:9. IF</w:t>
            </w:r>
            <w:r>
              <w:rPr>
                <w:color w:val="000000"/>
                <w:kern w:val="0"/>
                <w:sz w:val="16"/>
                <w:szCs w:val="16"/>
              </w:rPr>
              <w:t>2022</w:t>
            </w:r>
            <w:r>
              <w:rPr>
                <w:color w:val="000000"/>
                <w:kern w:val="0"/>
              </w:rPr>
              <w:t>=</w:t>
            </w:r>
            <w:r>
              <w:rPr>
                <w:b/>
                <w:bCs/>
                <w:color w:val="000000"/>
                <w:kern w:val="0"/>
              </w:rPr>
              <w:t>5.3</w:t>
            </w:r>
            <w:r>
              <w:rPr>
                <w:color w:val="000000"/>
                <w:kern w:val="0"/>
              </w:rPr>
              <w:t xml:space="preserve">, </w:t>
            </w:r>
            <w:r>
              <w:rPr>
                <w:rFonts w:hint="eastAsia" w:ascii="宋体" w:cs="宋体"/>
                <w:color w:val="000000"/>
                <w:kern w:val="0"/>
              </w:rPr>
              <w:t>被引次数：</w:t>
            </w:r>
            <w:r>
              <w:rPr>
                <w:b/>
                <w:bCs/>
                <w:color w:val="000000"/>
                <w:kern w:val="0"/>
              </w:rPr>
              <w:t>90</w:t>
            </w:r>
          </w:p>
          <w:p w14:paraId="66819E57">
            <w:pPr>
              <w:autoSpaceDE w:val="0"/>
              <w:autoSpaceDN w:val="0"/>
              <w:adjustRightInd w:val="0"/>
              <w:snapToGrid w:val="0"/>
              <w:spacing w:after="120" w:afterLines="50"/>
              <w:rPr>
                <w:b/>
                <w:bCs/>
                <w:color w:val="000000"/>
                <w:kern w:val="0"/>
              </w:rPr>
            </w:pPr>
            <w:r>
              <w:rPr>
                <w:color w:val="000000"/>
                <w:kern w:val="0"/>
              </w:rPr>
              <w:t xml:space="preserve">28. Zhang Y, Zhang G, Xia N, Wang XJ, Huang LL, </w:t>
            </w:r>
            <w:r>
              <w:rPr>
                <w:b/>
                <w:bCs/>
                <w:color w:val="000000"/>
                <w:kern w:val="0"/>
              </w:rPr>
              <w:t xml:space="preserve">Kang ZS. </w:t>
            </w:r>
            <w:r>
              <w:rPr>
                <w:color w:val="000000"/>
                <w:kern w:val="0"/>
              </w:rPr>
              <w:t xml:space="preserve">Cloning and characterization of a bZIP transcription factor gene in wheat and its expression in response to stripe rust pathogen infection and abiotic stresses. </w:t>
            </w:r>
            <w:r>
              <w:rPr>
                <w:b/>
                <w:bCs/>
                <w:color w:val="000000"/>
                <w:kern w:val="0"/>
              </w:rPr>
              <w:t>Physiological and Molecular Plant Pathology</w:t>
            </w:r>
            <w:r>
              <w:rPr>
                <w:color w:val="000000"/>
                <w:kern w:val="0"/>
              </w:rPr>
              <w:t>, 2009, 73(4-5):88-94. IF</w:t>
            </w:r>
            <w:r>
              <w:rPr>
                <w:color w:val="000000"/>
                <w:kern w:val="0"/>
                <w:sz w:val="16"/>
                <w:szCs w:val="16"/>
              </w:rPr>
              <w:t>2022</w:t>
            </w:r>
            <w:r>
              <w:rPr>
                <w:color w:val="000000"/>
                <w:kern w:val="0"/>
              </w:rPr>
              <w:t>=</w:t>
            </w:r>
            <w:r>
              <w:rPr>
                <w:b/>
                <w:bCs/>
                <w:color w:val="000000"/>
                <w:kern w:val="0"/>
              </w:rPr>
              <w:t>2.7</w:t>
            </w:r>
            <w:r>
              <w:rPr>
                <w:color w:val="000000"/>
                <w:kern w:val="0"/>
              </w:rPr>
              <w:t xml:space="preserve">, </w:t>
            </w:r>
            <w:r>
              <w:rPr>
                <w:rFonts w:hint="eastAsia" w:ascii="宋体" w:cs="宋体"/>
                <w:color w:val="000000"/>
                <w:kern w:val="0"/>
              </w:rPr>
              <w:t>被引次数：</w:t>
            </w:r>
            <w:r>
              <w:rPr>
                <w:b/>
                <w:bCs/>
                <w:color w:val="000000"/>
                <w:kern w:val="0"/>
              </w:rPr>
              <w:t>61</w:t>
            </w:r>
          </w:p>
          <w:p w14:paraId="407E04A0">
            <w:pPr>
              <w:autoSpaceDE w:val="0"/>
              <w:autoSpaceDN w:val="0"/>
              <w:adjustRightInd w:val="0"/>
              <w:snapToGrid w:val="0"/>
              <w:spacing w:after="120" w:afterLines="50"/>
              <w:rPr>
                <w:b/>
                <w:bCs/>
                <w:color w:val="000000"/>
                <w:kern w:val="0"/>
              </w:rPr>
            </w:pPr>
            <w:r>
              <w:rPr>
                <w:color w:val="000000"/>
                <w:kern w:val="0"/>
              </w:rPr>
              <w:t xml:space="preserve">29. Wang CF, Huang LL, Buchenauer H, Han QM, Zhang HC, </w:t>
            </w:r>
            <w:r>
              <w:rPr>
                <w:b/>
                <w:bCs/>
                <w:color w:val="000000"/>
                <w:kern w:val="0"/>
              </w:rPr>
              <w:t>Kang ZS</w:t>
            </w:r>
            <w:r>
              <w:rPr>
                <w:color w:val="000000"/>
                <w:kern w:val="0"/>
              </w:rPr>
              <w:t>. Histochemical studies on the accumulation of reactive oxygen species O</w:t>
            </w:r>
            <w:r>
              <w:rPr>
                <w:color w:val="000000"/>
                <w:kern w:val="0"/>
                <w:sz w:val="16"/>
                <w:szCs w:val="16"/>
              </w:rPr>
              <w:t xml:space="preserve">2- </w:t>
            </w:r>
            <w:r>
              <w:rPr>
                <w:color w:val="000000"/>
                <w:kern w:val="0"/>
              </w:rPr>
              <w:t>and H</w:t>
            </w:r>
            <w:r>
              <w:rPr>
                <w:color w:val="000000"/>
                <w:kern w:val="0"/>
                <w:sz w:val="16"/>
                <w:szCs w:val="16"/>
              </w:rPr>
              <w:t>2</w:t>
            </w:r>
            <w:r>
              <w:rPr>
                <w:color w:val="000000"/>
                <w:kern w:val="0"/>
              </w:rPr>
              <w:t>O</w:t>
            </w:r>
            <w:r>
              <w:rPr>
                <w:color w:val="000000"/>
                <w:kern w:val="0"/>
                <w:sz w:val="16"/>
                <w:szCs w:val="16"/>
              </w:rPr>
              <w:t xml:space="preserve">2 </w:t>
            </w:r>
            <w:r>
              <w:rPr>
                <w:color w:val="000000"/>
                <w:kern w:val="0"/>
              </w:rPr>
              <w:t xml:space="preserve">in the incompatible and compatible interaction of wheat - </w:t>
            </w:r>
            <w:r>
              <w:rPr>
                <w:i/>
                <w:iCs/>
                <w:color w:val="000000"/>
                <w:kern w:val="0"/>
              </w:rPr>
              <w:t xml:space="preserve">Puccinia </w:t>
            </w:r>
            <w:r>
              <w:rPr>
                <w:color w:val="000000"/>
                <w:kern w:val="0"/>
              </w:rPr>
              <w:t xml:space="preserve">striiformis f. sp </w:t>
            </w:r>
            <w:r>
              <w:rPr>
                <w:i/>
                <w:iCs/>
                <w:color w:val="000000"/>
                <w:kern w:val="0"/>
              </w:rPr>
              <w:t>tritici</w:t>
            </w:r>
            <w:r>
              <w:rPr>
                <w:color w:val="000000"/>
                <w:kern w:val="0"/>
              </w:rPr>
              <w:t xml:space="preserve">. </w:t>
            </w:r>
            <w:r>
              <w:rPr>
                <w:b/>
                <w:bCs/>
                <w:color w:val="000000"/>
                <w:kern w:val="0"/>
              </w:rPr>
              <w:t>Physiological and Molecular Plant Pathology</w:t>
            </w:r>
            <w:r>
              <w:rPr>
                <w:color w:val="000000"/>
                <w:kern w:val="0"/>
              </w:rPr>
              <w:t>, 2007, 71(4-6):230-239. IF</w:t>
            </w:r>
            <w:r>
              <w:rPr>
                <w:color w:val="000000"/>
                <w:kern w:val="0"/>
                <w:sz w:val="16"/>
                <w:szCs w:val="16"/>
              </w:rPr>
              <w:t>2022</w:t>
            </w:r>
            <w:r>
              <w:rPr>
                <w:color w:val="000000"/>
                <w:kern w:val="0"/>
              </w:rPr>
              <w:t>=</w:t>
            </w:r>
            <w:r>
              <w:rPr>
                <w:b/>
                <w:bCs/>
                <w:color w:val="000000"/>
                <w:kern w:val="0"/>
              </w:rPr>
              <w:t>2.7</w:t>
            </w:r>
            <w:r>
              <w:rPr>
                <w:color w:val="000000"/>
                <w:kern w:val="0"/>
              </w:rPr>
              <w:t xml:space="preserve">, </w:t>
            </w:r>
            <w:r>
              <w:rPr>
                <w:rFonts w:hint="eastAsia" w:ascii="宋体" w:cs="宋体"/>
                <w:color w:val="000000"/>
                <w:kern w:val="0"/>
              </w:rPr>
              <w:t>被引次数：</w:t>
            </w:r>
            <w:r>
              <w:rPr>
                <w:b/>
                <w:bCs/>
                <w:color w:val="000000"/>
                <w:kern w:val="0"/>
              </w:rPr>
              <w:t>190</w:t>
            </w:r>
          </w:p>
          <w:p w14:paraId="340FA764">
            <w:pPr>
              <w:autoSpaceDE w:val="0"/>
              <w:autoSpaceDN w:val="0"/>
              <w:adjustRightInd w:val="0"/>
              <w:snapToGrid w:val="0"/>
              <w:spacing w:after="120" w:afterLines="50"/>
              <w:rPr>
                <w:b/>
                <w:bCs/>
                <w:color w:val="000000"/>
                <w:kern w:val="0"/>
              </w:rPr>
            </w:pPr>
            <w:r>
              <w:rPr>
                <w:color w:val="000000"/>
                <w:kern w:val="0"/>
              </w:rPr>
              <w:t xml:space="preserve">30. </w:t>
            </w:r>
            <w:r>
              <w:rPr>
                <w:b/>
                <w:bCs/>
                <w:color w:val="000000"/>
                <w:kern w:val="0"/>
              </w:rPr>
              <w:t>Kang Z</w:t>
            </w:r>
            <w:r>
              <w:rPr>
                <w:color w:val="000000"/>
                <w:kern w:val="0"/>
              </w:rPr>
              <w:t xml:space="preserve">, Buchenauer H. Ultrastructural and immunocytochemical investigation of pathogen development and host responses in resistant and susceptible wheat spikes infected by </w:t>
            </w:r>
            <w:r>
              <w:rPr>
                <w:i/>
                <w:iCs/>
                <w:color w:val="000000"/>
                <w:kern w:val="0"/>
              </w:rPr>
              <w:t>Fusarium culmorum</w:t>
            </w:r>
            <w:r>
              <w:rPr>
                <w:color w:val="000000"/>
                <w:kern w:val="0"/>
              </w:rPr>
              <w:t xml:space="preserve">. </w:t>
            </w:r>
            <w:r>
              <w:rPr>
                <w:b/>
                <w:bCs/>
                <w:color w:val="000000"/>
                <w:kern w:val="0"/>
              </w:rPr>
              <w:t>Physiological and Molecular Plant Pathology</w:t>
            </w:r>
            <w:r>
              <w:rPr>
                <w:color w:val="000000"/>
                <w:kern w:val="0"/>
              </w:rPr>
              <w:t>, 2000, 57(6):255-268. IF</w:t>
            </w:r>
            <w:r>
              <w:rPr>
                <w:color w:val="000000"/>
                <w:kern w:val="0"/>
                <w:sz w:val="16"/>
                <w:szCs w:val="16"/>
              </w:rPr>
              <w:t>2022</w:t>
            </w:r>
            <w:r>
              <w:rPr>
                <w:color w:val="000000"/>
                <w:kern w:val="0"/>
              </w:rPr>
              <w:t>=</w:t>
            </w:r>
            <w:r>
              <w:rPr>
                <w:b/>
                <w:bCs/>
                <w:color w:val="000000"/>
                <w:kern w:val="0"/>
              </w:rPr>
              <w:t>2.7</w:t>
            </w:r>
            <w:r>
              <w:rPr>
                <w:color w:val="000000"/>
                <w:kern w:val="0"/>
              </w:rPr>
              <w:t xml:space="preserve">, </w:t>
            </w:r>
            <w:r>
              <w:rPr>
                <w:rFonts w:hint="eastAsia" w:ascii="宋体" w:cs="宋体"/>
                <w:color w:val="000000"/>
                <w:kern w:val="0"/>
              </w:rPr>
              <w:t>被引次数：</w:t>
            </w:r>
            <w:r>
              <w:rPr>
                <w:b/>
                <w:bCs/>
                <w:color w:val="000000"/>
                <w:kern w:val="0"/>
              </w:rPr>
              <w:t>116</w:t>
            </w:r>
          </w:p>
          <w:p w14:paraId="6F94B96C">
            <w:pPr>
              <w:autoSpaceDE w:val="0"/>
              <w:autoSpaceDN w:val="0"/>
              <w:adjustRightInd w:val="0"/>
              <w:snapToGrid w:val="0"/>
              <w:spacing w:after="120" w:afterLines="50"/>
              <w:rPr>
                <w:b/>
                <w:bCs/>
                <w:color w:val="000000"/>
                <w:kern w:val="0"/>
              </w:rPr>
            </w:pPr>
            <w:r>
              <w:rPr>
                <w:color w:val="000000"/>
                <w:kern w:val="0"/>
              </w:rPr>
              <w:t xml:space="preserve">31. </w:t>
            </w:r>
            <w:r>
              <w:rPr>
                <w:b/>
                <w:bCs/>
                <w:color w:val="000000"/>
                <w:kern w:val="0"/>
              </w:rPr>
              <w:t>Kang ZS</w:t>
            </w:r>
            <w:r>
              <w:rPr>
                <w:color w:val="000000"/>
                <w:kern w:val="0"/>
              </w:rPr>
              <w:t xml:space="preserve">, Buchenauer H. Cytology and ultrastructure of the infection of wheat spikes by </w:t>
            </w:r>
            <w:r>
              <w:rPr>
                <w:i/>
                <w:iCs/>
                <w:color w:val="000000"/>
                <w:kern w:val="0"/>
              </w:rPr>
              <w:t>Fusarium culmorum</w:t>
            </w:r>
            <w:r>
              <w:rPr>
                <w:color w:val="000000"/>
                <w:kern w:val="0"/>
              </w:rPr>
              <w:t xml:space="preserve">. </w:t>
            </w:r>
            <w:r>
              <w:rPr>
                <w:b/>
                <w:bCs/>
                <w:color w:val="000000"/>
                <w:kern w:val="0"/>
              </w:rPr>
              <w:t>Mycological Research</w:t>
            </w:r>
            <w:r>
              <w:rPr>
                <w:color w:val="000000"/>
                <w:kern w:val="0"/>
              </w:rPr>
              <w:t>, 2000, 104:1083-1093. IF</w:t>
            </w:r>
            <w:r>
              <w:rPr>
                <w:color w:val="000000"/>
                <w:kern w:val="0"/>
                <w:sz w:val="16"/>
                <w:szCs w:val="16"/>
              </w:rPr>
              <w:t>2022</w:t>
            </w:r>
            <w:r>
              <w:rPr>
                <w:color w:val="000000"/>
                <w:kern w:val="0"/>
              </w:rPr>
              <w:t>=</w:t>
            </w:r>
            <w:r>
              <w:rPr>
                <w:b/>
                <w:bCs/>
                <w:color w:val="000000"/>
                <w:kern w:val="0"/>
              </w:rPr>
              <w:t>2.5</w:t>
            </w:r>
            <w:r>
              <w:rPr>
                <w:color w:val="000000"/>
                <w:kern w:val="0"/>
              </w:rPr>
              <w:t xml:space="preserve">, </w:t>
            </w:r>
            <w:r>
              <w:rPr>
                <w:rFonts w:hint="eastAsia" w:ascii="宋体" w:cs="宋体"/>
                <w:color w:val="000000"/>
                <w:kern w:val="0"/>
              </w:rPr>
              <w:t>被 引次数：</w:t>
            </w:r>
            <w:r>
              <w:rPr>
                <w:b/>
                <w:bCs/>
                <w:color w:val="000000"/>
                <w:kern w:val="0"/>
              </w:rPr>
              <w:t>130</w:t>
            </w:r>
          </w:p>
          <w:p w14:paraId="2CE7CF3F">
            <w:pPr>
              <w:autoSpaceDE w:val="0"/>
              <w:autoSpaceDN w:val="0"/>
              <w:adjustRightInd w:val="0"/>
              <w:snapToGrid w:val="0"/>
              <w:spacing w:after="120" w:afterLines="50"/>
              <w:rPr>
                <w:bCs/>
                <w:color w:val="000000"/>
                <w:kern w:val="0"/>
              </w:rPr>
            </w:pPr>
            <w:r>
              <w:rPr>
                <w:color w:val="000000"/>
                <w:kern w:val="0"/>
              </w:rPr>
              <w:t xml:space="preserve">32. </w:t>
            </w:r>
            <w:r>
              <w:rPr>
                <w:b/>
                <w:bCs/>
                <w:color w:val="000000"/>
                <w:kern w:val="0"/>
              </w:rPr>
              <w:t>Kang Z</w:t>
            </w:r>
            <w:r>
              <w:rPr>
                <w:color w:val="000000"/>
                <w:kern w:val="0"/>
              </w:rPr>
              <w:t xml:space="preserve">, Buchenauer H. Immunocytochemical localization of fusarium toxins in infected wheat spikes by </w:t>
            </w:r>
            <w:r>
              <w:rPr>
                <w:i/>
                <w:iCs/>
                <w:color w:val="000000"/>
                <w:kern w:val="0"/>
              </w:rPr>
              <w:t>Fusarium culmorum</w:t>
            </w:r>
            <w:r>
              <w:rPr>
                <w:color w:val="000000"/>
                <w:kern w:val="0"/>
              </w:rPr>
              <w:t xml:space="preserve">. </w:t>
            </w:r>
            <w:r>
              <w:rPr>
                <w:b/>
                <w:bCs/>
                <w:color w:val="000000"/>
                <w:kern w:val="0"/>
              </w:rPr>
              <w:t xml:space="preserve">Physiological and Molecular Plant </w:t>
            </w:r>
            <w:r>
              <w:rPr>
                <w:rFonts w:hint="eastAsia"/>
                <w:b/>
                <w:bCs/>
                <w:color w:val="000000"/>
                <w:kern w:val="0"/>
              </w:rPr>
              <w:t xml:space="preserve">Pathology, </w:t>
            </w:r>
            <w:r>
              <w:rPr>
                <w:rFonts w:hint="eastAsia"/>
                <w:bCs/>
                <w:color w:val="000000"/>
                <w:kern w:val="0"/>
              </w:rPr>
              <w:t>1999, 55(5):275-288. IF2022=2.7, 被引次数：125</w:t>
            </w:r>
          </w:p>
          <w:p w14:paraId="14C82D4E">
            <w:pPr>
              <w:autoSpaceDE w:val="0"/>
              <w:autoSpaceDN w:val="0"/>
              <w:adjustRightInd w:val="0"/>
              <w:snapToGrid w:val="0"/>
              <w:spacing w:after="120" w:afterLines="50"/>
              <w:rPr>
                <w:bCs/>
                <w:color w:val="000000"/>
                <w:kern w:val="0"/>
              </w:rPr>
            </w:pPr>
            <w:r>
              <w:rPr>
                <w:bCs/>
                <w:color w:val="000000"/>
                <w:kern w:val="0"/>
              </w:rPr>
              <w:t>33. Chen Xianming and Kang Zhensheng, Stripe Rust, 2017, Springer</w:t>
            </w:r>
          </w:p>
          <w:p w14:paraId="26192E8E">
            <w:pPr>
              <w:autoSpaceDE w:val="0"/>
              <w:autoSpaceDN w:val="0"/>
              <w:adjustRightInd w:val="0"/>
              <w:snapToGrid w:val="0"/>
              <w:spacing w:after="120" w:afterLines="50"/>
              <w:rPr>
                <w:bCs/>
                <w:color w:val="000000"/>
                <w:kern w:val="0"/>
              </w:rPr>
            </w:pPr>
            <w:r>
              <w:rPr>
                <w:rFonts w:hint="eastAsia"/>
                <w:bCs/>
                <w:color w:val="000000"/>
                <w:kern w:val="0"/>
              </w:rPr>
              <w:t>34. 康振生, 黄丽丽, 李金玉. 植物病原真菌超微形态. 1997. 农业出版社</w:t>
            </w:r>
          </w:p>
          <w:p w14:paraId="528963DE">
            <w:pPr>
              <w:autoSpaceDE w:val="0"/>
              <w:autoSpaceDN w:val="0"/>
              <w:adjustRightInd w:val="0"/>
              <w:snapToGrid w:val="0"/>
              <w:spacing w:after="120" w:afterLines="50"/>
            </w:pPr>
            <w:r>
              <w:rPr>
                <w:rFonts w:hint="eastAsia"/>
                <w:bCs/>
                <w:color w:val="000000"/>
                <w:kern w:val="0"/>
              </w:rPr>
              <w:t>35. 康振生. 植物病原真菌的超微结构. 1996. 科学技术出版社</w:t>
            </w:r>
          </w:p>
          <w:p w14:paraId="3CB3DA12">
            <w:pPr>
              <w:spacing w:line="390" w:lineRule="exact"/>
              <w:rPr>
                <w:b/>
                <w:bCs/>
                <w:sz w:val="24"/>
              </w:rPr>
            </w:pPr>
          </w:p>
        </w:tc>
      </w:tr>
    </w:tbl>
    <w:p w14:paraId="35DECE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1"/>
        <w:rPr>
          <w:sz w:val="24"/>
        </w:rPr>
      </w:pPr>
      <w:r>
        <w:rPr>
          <w:rFonts w:hint="eastAsia" w:ascii="黑体" w:eastAsia="黑体" w:cs="黑体"/>
          <w:kern w:val="0"/>
          <w:sz w:val="28"/>
          <w:szCs w:val="28"/>
          <w:lang w:val="en-US" w:eastAsia="zh-CN"/>
        </w:rPr>
        <w:t>六</w:t>
      </w:r>
      <w:r>
        <w:rPr>
          <w:rFonts w:hint="eastAsia" w:ascii="黑体" w:eastAsia="黑体" w:cs="黑体"/>
          <w:kern w:val="0"/>
          <w:sz w:val="28"/>
          <w:szCs w:val="28"/>
          <w:lang w:eastAsia="zh-CN"/>
        </w:rPr>
        <w:t>、</w:t>
      </w:r>
      <w:r>
        <w:rPr>
          <w:rFonts w:eastAsia="黑体"/>
          <w:sz w:val="28"/>
        </w:rPr>
        <w:t>候选人曾获</w:t>
      </w:r>
      <w:r>
        <w:rPr>
          <w:rFonts w:hint="eastAsia" w:eastAsia="黑体"/>
          <w:sz w:val="28"/>
          <w:lang w:val="en-US" w:eastAsia="zh-CN"/>
        </w:rPr>
        <w:t>科学技术</w:t>
      </w:r>
      <w:r>
        <w:rPr>
          <w:rFonts w:eastAsia="黑体"/>
          <w:sz w:val="28"/>
        </w:rPr>
        <w:t>奖励情况</w:t>
      </w:r>
    </w:p>
    <w:tbl>
      <w:tblPr>
        <w:tblStyle w:val="4"/>
        <w:tblW w:w="93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124"/>
        <w:gridCol w:w="2998"/>
        <w:gridCol w:w="1080"/>
        <w:gridCol w:w="1740"/>
        <w:gridCol w:w="1667"/>
      </w:tblGrid>
      <w:tr w14:paraId="77542C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99" w:type="dxa"/>
            <w:vAlign w:val="center"/>
          </w:tcPr>
          <w:p w14:paraId="2D018C1B">
            <w:pPr>
              <w:spacing w:line="390" w:lineRule="exact"/>
              <w:jc w:val="center"/>
              <w:rPr>
                <w:b/>
                <w:bCs/>
              </w:rPr>
            </w:pPr>
            <w:r>
              <w:rPr>
                <w:b/>
                <w:bCs/>
              </w:rPr>
              <w:t>序号</w:t>
            </w:r>
          </w:p>
        </w:tc>
        <w:tc>
          <w:tcPr>
            <w:tcW w:w="1124" w:type="dxa"/>
            <w:vAlign w:val="center"/>
          </w:tcPr>
          <w:p w14:paraId="4F7D4689">
            <w:pPr>
              <w:spacing w:line="390" w:lineRule="exact"/>
              <w:rPr>
                <w:b/>
                <w:bCs/>
              </w:rPr>
            </w:pPr>
            <w:r>
              <w:rPr>
                <w:b/>
                <w:bCs/>
              </w:rPr>
              <w:t>获奖时间</w:t>
            </w:r>
          </w:p>
        </w:tc>
        <w:tc>
          <w:tcPr>
            <w:tcW w:w="2998" w:type="dxa"/>
            <w:vAlign w:val="center"/>
          </w:tcPr>
          <w:p w14:paraId="3616E0BB">
            <w:pPr>
              <w:spacing w:line="390" w:lineRule="exact"/>
              <w:jc w:val="center"/>
              <w:rPr>
                <w:b/>
                <w:bCs/>
              </w:rPr>
            </w:pPr>
            <w:r>
              <w:rPr>
                <w:b/>
                <w:bCs/>
              </w:rPr>
              <w:t>获奖项目名称</w:t>
            </w:r>
          </w:p>
        </w:tc>
        <w:tc>
          <w:tcPr>
            <w:tcW w:w="1080" w:type="dxa"/>
            <w:vAlign w:val="center"/>
          </w:tcPr>
          <w:p w14:paraId="29E0E21F">
            <w:pPr>
              <w:spacing w:line="390" w:lineRule="exact"/>
              <w:jc w:val="center"/>
              <w:rPr>
                <w:b/>
                <w:bCs/>
              </w:rPr>
            </w:pPr>
            <w:r>
              <w:rPr>
                <w:b/>
                <w:bCs/>
              </w:rPr>
              <w:t>奖项名称</w:t>
            </w:r>
          </w:p>
        </w:tc>
        <w:tc>
          <w:tcPr>
            <w:tcW w:w="1740" w:type="dxa"/>
            <w:vAlign w:val="center"/>
          </w:tcPr>
          <w:p w14:paraId="44F07073">
            <w:pPr>
              <w:spacing w:line="390" w:lineRule="exact"/>
              <w:jc w:val="center"/>
              <w:rPr>
                <w:b/>
                <w:bCs/>
              </w:rPr>
            </w:pPr>
            <w:r>
              <w:rPr>
                <w:b/>
                <w:bCs/>
              </w:rPr>
              <w:t>奖励等级及排名</w:t>
            </w:r>
          </w:p>
        </w:tc>
        <w:tc>
          <w:tcPr>
            <w:tcW w:w="1667" w:type="dxa"/>
            <w:vAlign w:val="center"/>
          </w:tcPr>
          <w:p w14:paraId="280ADBA8">
            <w:pPr>
              <w:spacing w:line="390" w:lineRule="exact"/>
              <w:jc w:val="center"/>
              <w:rPr>
                <w:b/>
                <w:bCs/>
              </w:rPr>
            </w:pPr>
            <w:r>
              <w:rPr>
                <w:b/>
                <w:bCs/>
              </w:rPr>
              <w:t>授奖单位</w:t>
            </w:r>
          </w:p>
        </w:tc>
      </w:tr>
      <w:tr w14:paraId="04278B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6FF4A5F3">
            <w:pPr>
              <w:spacing w:line="390" w:lineRule="exact"/>
              <w:jc w:val="center"/>
              <w:rPr>
                <w:bCs/>
                <w:sz w:val="24"/>
              </w:rPr>
            </w:pPr>
            <w:r>
              <w:rPr>
                <w:rFonts w:hint="eastAsia"/>
                <w:bCs/>
                <w:sz w:val="22"/>
              </w:rPr>
              <w:t>1</w:t>
            </w:r>
          </w:p>
        </w:tc>
        <w:tc>
          <w:tcPr>
            <w:tcW w:w="1124" w:type="dxa"/>
            <w:tcBorders>
              <w:bottom w:val="single" w:color="auto" w:sz="4" w:space="0"/>
            </w:tcBorders>
            <w:vAlign w:val="center"/>
          </w:tcPr>
          <w:p w14:paraId="27788B22">
            <w:pPr>
              <w:snapToGrid w:val="0"/>
              <w:rPr>
                <w:rFonts w:eastAsiaTheme="minorEastAsia"/>
                <w:bCs/>
                <w:szCs w:val="21"/>
              </w:rPr>
            </w:pPr>
            <w:r>
              <w:rPr>
                <w:rFonts w:eastAsiaTheme="minorEastAsia"/>
                <w:kern w:val="0"/>
                <w:szCs w:val="21"/>
              </w:rPr>
              <w:t>2012年12月31日</w:t>
            </w:r>
          </w:p>
        </w:tc>
        <w:tc>
          <w:tcPr>
            <w:tcW w:w="2998" w:type="dxa"/>
            <w:tcBorders>
              <w:bottom w:val="single" w:color="auto" w:sz="4" w:space="0"/>
            </w:tcBorders>
            <w:vAlign w:val="center"/>
          </w:tcPr>
          <w:p w14:paraId="73B797EA">
            <w:pPr>
              <w:snapToGrid w:val="0"/>
              <w:rPr>
                <w:rFonts w:eastAsiaTheme="minorEastAsia"/>
                <w:bCs/>
                <w:szCs w:val="21"/>
              </w:rPr>
            </w:pPr>
            <w:r>
              <w:rPr>
                <w:rFonts w:eastAsiaTheme="minorEastAsia"/>
                <w:bCs/>
                <w:szCs w:val="21"/>
              </w:rPr>
              <w:t>中国小麦条锈病菌源基地综合治理技术体系的构建与应用</w:t>
            </w:r>
          </w:p>
        </w:tc>
        <w:tc>
          <w:tcPr>
            <w:tcW w:w="1080" w:type="dxa"/>
            <w:tcBorders>
              <w:bottom w:val="single" w:color="auto" w:sz="4" w:space="0"/>
            </w:tcBorders>
            <w:vAlign w:val="center"/>
          </w:tcPr>
          <w:p w14:paraId="0F620A50">
            <w:pPr>
              <w:autoSpaceDE w:val="0"/>
              <w:autoSpaceDN w:val="0"/>
              <w:adjustRightInd w:val="0"/>
              <w:snapToGrid w:val="0"/>
              <w:rPr>
                <w:rFonts w:eastAsiaTheme="minorEastAsia"/>
                <w:bCs/>
                <w:szCs w:val="21"/>
              </w:rPr>
            </w:pPr>
            <w:r>
              <w:rPr>
                <w:rFonts w:eastAsiaTheme="minorEastAsia"/>
                <w:kern w:val="0"/>
                <w:szCs w:val="21"/>
              </w:rPr>
              <w:t>国家科学技术进步奖</w:t>
            </w:r>
          </w:p>
        </w:tc>
        <w:tc>
          <w:tcPr>
            <w:tcW w:w="1740" w:type="dxa"/>
            <w:tcBorders>
              <w:bottom w:val="single" w:color="auto" w:sz="4" w:space="0"/>
            </w:tcBorders>
            <w:vAlign w:val="center"/>
          </w:tcPr>
          <w:p w14:paraId="5E2FF551">
            <w:pPr>
              <w:autoSpaceDE w:val="0"/>
              <w:autoSpaceDN w:val="0"/>
              <w:adjustRightInd w:val="0"/>
              <w:snapToGrid w:val="0"/>
              <w:rPr>
                <w:rFonts w:eastAsiaTheme="minorEastAsia"/>
                <w:bCs/>
                <w:szCs w:val="21"/>
              </w:rPr>
            </w:pPr>
            <w:r>
              <w:rPr>
                <w:rFonts w:eastAsiaTheme="minorEastAsia"/>
                <w:kern w:val="0"/>
                <w:szCs w:val="21"/>
              </w:rPr>
              <w:t>一等奖，第二完成人</w:t>
            </w:r>
          </w:p>
        </w:tc>
        <w:tc>
          <w:tcPr>
            <w:tcW w:w="1667" w:type="dxa"/>
            <w:tcBorders>
              <w:bottom w:val="single" w:color="auto" w:sz="4" w:space="0"/>
            </w:tcBorders>
            <w:vAlign w:val="center"/>
          </w:tcPr>
          <w:p w14:paraId="2F6B127B">
            <w:pPr>
              <w:snapToGrid w:val="0"/>
              <w:rPr>
                <w:rFonts w:eastAsiaTheme="minorEastAsia"/>
                <w:bCs/>
                <w:szCs w:val="21"/>
              </w:rPr>
            </w:pPr>
            <w:r>
              <w:rPr>
                <w:rFonts w:eastAsiaTheme="minorEastAsia"/>
                <w:kern w:val="0"/>
                <w:szCs w:val="21"/>
              </w:rPr>
              <w:t>国务院</w:t>
            </w:r>
          </w:p>
        </w:tc>
      </w:tr>
      <w:tr w14:paraId="4B4539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4BC0929B">
            <w:pPr>
              <w:spacing w:line="390" w:lineRule="exact"/>
              <w:jc w:val="center"/>
              <w:rPr>
                <w:bCs/>
                <w:sz w:val="22"/>
              </w:rPr>
            </w:pPr>
            <w:r>
              <w:rPr>
                <w:rFonts w:hint="eastAsia"/>
                <w:bCs/>
                <w:sz w:val="22"/>
              </w:rPr>
              <w:t>2</w:t>
            </w:r>
          </w:p>
        </w:tc>
        <w:tc>
          <w:tcPr>
            <w:tcW w:w="1124" w:type="dxa"/>
            <w:tcBorders>
              <w:bottom w:val="single" w:color="auto" w:sz="4" w:space="0"/>
            </w:tcBorders>
            <w:vAlign w:val="center"/>
          </w:tcPr>
          <w:p w14:paraId="16634813">
            <w:pPr>
              <w:snapToGrid w:val="0"/>
              <w:rPr>
                <w:rFonts w:eastAsiaTheme="minorEastAsia"/>
                <w:bCs/>
                <w:szCs w:val="21"/>
              </w:rPr>
            </w:pPr>
            <w:r>
              <w:rPr>
                <w:rFonts w:eastAsiaTheme="minorEastAsia"/>
                <w:kern w:val="0"/>
                <w:szCs w:val="21"/>
              </w:rPr>
              <w:t>2010年12月31日</w:t>
            </w:r>
          </w:p>
        </w:tc>
        <w:tc>
          <w:tcPr>
            <w:tcW w:w="2998" w:type="dxa"/>
            <w:tcBorders>
              <w:bottom w:val="single" w:color="auto" w:sz="4" w:space="0"/>
            </w:tcBorders>
            <w:vAlign w:val="center"/>
          </w:tcPr>
          <w:p w14:paraId="1A7EFFC2">
            <w:pPr>
              <w:autoSpaceDE w:val="0"/>
              <w:autoSpaceDN w:val="0"/>
              <w:adjustRightInd w:val="0"/>
              <w:snapToGrid w:val="0"/>
              <w:rPr>
                <w:rFonts w:eastAsiaTheme="minorEastAsia"/>
                <w:bCs/>
                <w:szCs w:val="21"/>
              </w:rPr>
            </w:pPr>
            <w:r>
              <w:rPr>
                <w:rFonts w:eastAsiaTheme="minorEastAsia"/>
                <w:kern w:val="0"/>
                <w:szCs w:val="21"/>
              </w:rPr>
              <w:t>小麦赤霉病致病机理与防控关键技术</w:t>
            </w:r>
          </w:p>
        </w:tc>
        <w:tc>
          <w:tcPr>
            <w:tcW w:w="1080" w:type="dxa"/>
            <w:tcBorders>
              <w:bottom w:val="single" w:color="auto" w:sz="4" w:space="0"/>
            </w:tcBorders>
            <w:vAlign w:val="center"/>
          </w:tcPr>
          <w:p w14:paraId="11825A24">
            <w:pPr>
              <w:autoSpaceDE w:val="0"/>
              <w:autoSpaceDN w:val="0"/>
              <w:adjustRightInd w:val="0"/>
              <w:snapToGrid w:val="0"/>
              <w:rPr>
                <w:rFonts w:eastAsiaTheme="minorEastAsia"/>
                <w:bCs/>
                <w:szCs w:val="21"/>
              </w:rPr>
            </w:pPr>
            <w:r>
              <w:rPr>
                <w:rFonts w:eastAsiaTheme="minorEastAsia"/>
                <w:kern w:val="0"/>
                <w:szCs w:val="21"/>
              </w:rPr>
              <w:t>国家科学技术进步奖</w:t>
            </w:r>
          </w:p>
        </w:tc>
        <w:tc>
          <w:tcPr>
            <w:tcW w:w="1740" w:type="dxa"/>
            <w:tcBorders>
              <w:bottom w:val="single" w:color="auto" w:sz="4" w:space="0"/>
            </w:tcBorders>
            <w:vAlign w:val="center"/>
          </w:tcPr>
          <w:p w14:paraId="4E15B88D">
            <w:pPr>
              <w:autoSpaceDE w:val="0"/>
              <w:autoSpaceDN w:val="0"/>
              <w:adjustRightInd w:val="0"/>
              <w:snapToGrid w:val="0"/>
              <w:rPr>
                <w:rFonts w:eastAsiaTheme="minorEastAsia"/>
                <w:bCs/>
                <w:szCs w:val="21"/>
              </w:rPr>
            </w:pPr>
            <w:r>
              <w:rPr>
                <w:rFonts w:eastAsiaTheme="minorEastAsia"/>
                <w:kern w:val="0"/>
                <w:szCs w:val="21"/>
              </w:rPr>
              <w:t>二等奖，第一完成</w:t>
            </w:r>
            <w:r>
              <w:rPr>
                <w:rFonts w:hint="eastAsia" w:eastAsiaTheme="minorEastAsia"/>
                <w:kern w:val="0"/>
                <w:szCs w:val="21"/>
              </w:rPr>
              <w:t>人</w:t>
            </w:r>
          </w:p>
        </w:tc>
        <w:tc>
          <w:tcPr>
            <w:tcW w:w="1667" w:type="dxa"/>
            <w:tcBorders>
              <w:bottom w:val="single" w:color="auto" w:sz="4" w:space="0"/>
            </w:tcBorders>
            <w:vAlign w:val="center"/>
          </w:tcPr>
          <w:p w14:paraId="74188963">
            <w:pPr>
              <w:snapToGrid w:val="0"/>
              <w:rPr>
                <w:rFonts w:eastAsiaTheme="minorEastAsia"/>
                <w:bCs/>
                <w:szCs w:val="21"/>
              </w:rPr>
            </w:pPr>
            <w:r>
              <w:rPr>
                <w:rFonts w:eastAsiaTheme="minorEastAsia"/>
                <w:kern w:val="0"/>
                <w:szCs w:val="21"/>
              </w:rPr>
              <w:t>国务院</w:t>
            </w:r>
          </w:p>
        </w:tc>
      </w:tr>
      <w:tr w14:paraId="686896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4FCB2683">
            <w:pPr>
              <w:spacing w:line="390" w:lineRule="exact"/>
              <w:jc w:val="center"/>
              <w:rPr>
                <w:bCs/>
                <w:sz w:val="22"/>
              </w:rPr>
            </w:pPr>
            <w:r>
              <w:rPr>
                <w:rFonts w:hint="eastAsia"/>
                <w:bCs/>
                <w:sz w:val="22"/>
              </w:rPr>
              <w:t>3</w:t>
            </w:r>
          </w:p>
        </w:tc>
        <w:tc>
          <w:tcPr>
            <w:tcW w:w="1124" w:type="dxa"/>
            <w:tcBorders>
              <w:bottom w:val="single" w:color="auto" w:sz="4" w:space="0"/>
            </w:tcBorders>
            <w:vAlign w:val="center"/>
          </w:tcPr>
          <w:p w14:paraId="7FB5DA9D">
            <w:pPr>
              <w:snapToGrid w:val="0"/>
              <w:rPr>
                <w:rFonts w:eastAsiaTheme="minorEastAsia"/>
                <w:bCs/>
                <w:szCs w:val="21"/>
              </w:rPr>
            </w:pPr>
            <w:r>
              <w:rPr>
                <w:rFonts w:eastAsiaTheme="minorEastAsia"/>
                <w:kern w:val="0"/>
                <w:szCs w:val="21"/>
              </w:rPr>
              <w:t>1999年12月01日</w:t>
            </w:r>
          </w:p>
        </w:tc>
        <w:tc>
          <w:tcPr>
            <w:tcW w:w="2998" w:type="dxa"/>
            <w:tcBorders>
              <w:bottom w:val="single" w:color="auto" w:sz="4" w:space="0"/>
            </w:tcBorders>
            <w:vAlign w:val="center"/>
          </w:tcPr>
          <w:p w14:paraId="354E1076">
            <w:pPr>
              <w:autoSpaceDE w:val="0"/>
              <w:autoSpaceDN w:val="0"/>
              <w:adjustRightInd w:val="0"/>
              <w:snapToGrid w:val="0"/>
              <w:rPr>
                <w:rFonts w:eastAsiaTheme="minorEastAsia"/>
                <w:bCs/>
                <w:szCs w:val="21"/>
              </w:rPr>
            </w:pPr>
            <w:r>
              <w:rPr>
                <w:rFonts w:eastAsiaTheme="minorEastAsia"/>
                <w:kern w:val="0"/>
                <w:szCs w:val="21"/>
              </w:rPr>
              <w:t>繁6及其衍生系小麦抗条锈性变异及对策研究</w:t>
            </w:r>
          </w:p>
        </w:tc>
        <w:tc>
          <w:tcPr>
            <w:tcW w:w="1080" w:type="dxa"/>
            <w:tcBorders>
              <w:bottom w:val="single" w:color="auto" w:sz="4" w:space="0"/>
            </w:tcBorders>
            <w:vAlign w:val="center"/>
          </w:tcPr>
          <w:p w14:paraId="36A3F9D0">
            <w:pPr>
              <w:snapToGrid w:val="0"/>
              <w:rPr>
                <w:rFonts w:eastAsiaTheme="minorEastAsia"/>
                <w:bCs/>
                <w:szCs w:val="21"/>
              </w:rPr>
            </w:pPr>
            <w:r>
              <w:rPr>
                <w:rFonts w:eastAsiaTheme="minorEastAsia"/>
                <w:kern w:val="0"/>
                <w:szCs w:val="21"/>
              </w:rPr>
              <w:t>国家科学技术进步奖</w:t>
            </w:r>
          </w:p>
        </w:tc>
        <w:tc>
          <w:tcPr>
            <w:tcW w:w="1740" w:type="dxa"/>
            <w:tcBorders>
              <w:bottom w:val="single" w:color="auto" w:sz="4" w:space="0"/>
            </w:tcBorders>
            <w:vAlign w:val="center"/>
          </w:tcPr>
          <w:p w14:paraId="31A6A2F9">
            <w:pPr>
              <w:autoSpaceDE w:val="0"/>
              <w:autoSpaceDN w:val="0"/>
              <w:adjustRightInd w:val="0"/>
              <w:snapToGrid w:val="0"/>
              <w:rPr>
                <w:rFonts w:eastAsiaTheme="minorEastAsia"/>
                <w:bCs/>
                <w:szCs w:val="21"/>
              </w:rPr>
            </w:pPr>
            <w:r>
              <w:rPr>
                <w:rFonts w:eastAsiaTheme="minorEastAsia"/>
                <w:kern w:val="0"/>
                <w:szCs w:val="21"/>
              </w:rPr>
              <w:t>三等奖，第三完成</w:t>
            </w:r>
            <w:r>
              <w:rPr>
                <w:rFonts w:hint="eastAsia" w:eastAsiaTheme="minorEastAsia"/>
                <w:kern w:val="0"/>
                <w:szCs w:val="21"/>
              </w:rPr>
              <w:t>人</w:t>
            </w:r>
          </w:p>
        </w:tc>
        <w:tc>
          <w:tcPr>
            <w:tcW w:w="1667" w:type="dxa"/>
            <w:tcBorders>
              <w:bottom w:val="single" w:color="auto" w:sz="4" w:space="0"/>
            </w:tcBorders>
            <w:vAlign w:val="center"/>
          </w:tcPr>
          <w:p w14:paraId="1DE40935">
            <w:pPr>
              <w:snapToGrid w:val="0"/>
              <w:rPr>
                <w:rFonts w:eastAsiaTheme="minorEastAsia"/>
                <w:bCs/>
                <w:szCs w:val="21"/>
              </w:rPr>
            </w:pPr>
            <w:r>
              <w:rPr>
                <w:rFonts w:eastAsiaTheme="minorEastAsia"/>
                <w:kern w:val="0"/>
                <w:szCs w:val="21"/>
              </w:rPr>
              <w:t>科学技术部</w:t>
            </w:r>
          </w:p>
        </w:tc>
      </w:tr>
      <w:tr w14:paraId="395997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69971F22">
            <w:pPr>
              <w:spacing w:line="390" w:lineRule="exact"/>
              <w:jc w:val="center"/>
              <w:rPr>
                <w:bCs/>
                <w:sz w:val="22"/>
              </w:rPr>
            </w:pPr>
            <w:r>
              <w:rPr>
                <w:rFonts w:hint="eastAsia"/>
                <w:bCs/>
                <w:sz w:val="22"/>
              </w:rPr>
              <w:t>4</w:t>
            </w:r>
          </w:p>
        </w:tc>
        <w:tc>
          <w:tcPr>
            <w:tcW w:w="1124" w:type="dxa"/>
            <w:tcBorders>
              <w:bottom w:val="single" w:color="auto" w:sz="4" w:space="0"/>
            </w:tcBorders>
            <w:vAlign w:val="center"/>
          </w:tcPr>
          <w:p w14:paraId="6649579D">
            <w:pPr>
              <w:snapToGrid w:val="0"/>
              <w:rPr>
                <w:rFonts w:eastAsiaTheme="minorEastAsia"/>
                <w:bCs/>
                <w:szCs w:val="21"/>
              </w:rPr>
            </w:pPr>
            <w:r>
              <w:rPr>
                <w:rFonts w:eastAsiaTheme="minorEastAsia"/>
                <w:kern w:val="0"/>
                <w:szCs w:val="21"/>
              </w:rPr>
              <w:t>2022年12月31日</w:t>
            </w:r>
          </w:p>
        </w:tc>
        <w:tc>
          <w:tcPr>
            <w:tcW w:w="2998" w:type="dxa"/>
            <w:tcBorders>
              <w:bottom w:val="single" w:color="auto" w:sz="4" w:space="0"/>
            </w:tcBorders>
            <w:vAlign w:val="center"/>
          </w:tcPr>
          <w:p w14:paraId="2B2B84A8">
            <w:pPr>
              <w:autoSpaceDE w:val="0"/>
              <w:autoSpaceDN w:val="0"/>
              <w:adjustRightInd w:val="0"/>
              <w:snapToGrid w:val="0"/>
              <w:rPr>
                <w:rFonts w:eastAsiaTheme="minorEastAsia"/>
                <w:bCs/>
                <w:szCs w:val="21"/>
              </w:rPr>
            </w:pPr>
            <w:r>
              <w:rPr>
                <w:rFonts w:eastAsiaTheme="minorEastAsia"/>
                <w:kern w:val="0"/>
                <w:szCs w:val="21"/>
              </w:rPr>
              <w:t>小麦-条锈菌互作分子机制解析及持久抗病材料创制</w:t>
            </w:r>
          </w:p>
        </w:tc>
        <w:tc>
          <w:tcPr>
            <w:tcW w:w="1080" w:type="dxa"/>
            <w:tcBorders>
              <w:bottom w:val="single" w:color="auto" w:sz="4" w:space="0"/>
            </w:tcBorders>
            <w:vAlign w:val="center"/>
          </w:tcPr>
          <w:p w14:paraId="51D5373A">
            <w:pPr>
              <w:autoSpaceDE w:val="0"/>
              <w:autoSpaceDN w:val="0"/>
              <w:adjustRightInd w:val="0"/>
              <w:snapToGrid w:val="0"/>
              <w:rPr>
                <w:rFonts w:eastAsiaTheme="minorEastAsia"/>
                <w:bCs/>
                <w:szCs w:val="21"/>
              </w:rPr>
            </w:pPr>
            <w:r>
              <w:rPr>
                <w:rFonts w:eastAsiaTheme="minorEastAsia"/>
                <w:kern w:val="0"/>
                <w:szCs w:val="21"/>
              </w:rPr>
              <w:t>陕西省科学技术奖</w:t>
            </w:r>
          </w:p>
        </w:tc>
        <w:tc>
          <w:tcPr>
            <w:tcW w:w="1740" w:type="dxa"/>
            <w:tcBorders>
              <w:bottom w:val="single" w:color="auto" w:sz="4" w:space="0"/>
            </w:tcBorders>
            <w:vAlign w:val="center"/>
          </w:tcPr>
          <w:p w14:paraId="717821DE">
            <w:pPr>
              <w:snapToGrid w:val="0"/>
              <w:rPr>
                <w:rFonts w:eastAsiaTheme="minorEastAsia"/>
                <w:bCs/>
                <w:szCs w:val="21"/>
              </w:rPr>
            </w:pPr>
            <w:r>
              <w:rPr>
                <w:rFonts w:eastAsiaTheme="minorEastAsia"/>
                <w:bCs/>
                <w:szCs w:val="21"/>
              </w:rPr>
              <w:t>一等奖，排名第二</w:t>
            </w:r>
          </w:p>
        </w:tc>
        <w:tc>
          <w:tcPr>
            <w:tcW w:w="1667" w:type="dxa"/>
            <w:tcBorders>
              <w:bottom w:val="single" w:color="auto" w:sz="4" w:space="0"/>
            </w:tcBorders>
            <w:vAlign w:val="center"/>
          </w:tcPr>
          <w:p w14:paraId="5A1901BF">
            <w:pPr>
              <w:snapToGrid w:val="0"/>
              <w:rPr>
                <w:rFonts w:eastAsiaTheme="minorEastAsia"/>
                <w:bCs/>
                <w:szCs w:val="21"/>
              </w:rPr>
            </w:pPr>
            <w:r>
              <w:rPr>
                <w:rFonts w:eastAsiaTheme="minorEastAsia"/>
                <w:bCs/>
                <w:szCs w:val="21"/>
              </w:rPr>
              <w:t>陕西省人民政府</w:t>
            </w:r>
          </w:p>
        </w:tc>
      </w:tr>
      <w:tr w14:paraId="6E141F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5C51F50B">
            <w:pPr>
              <w:spacing w:line="390" w:lineRule="exact"/>
              <w:jc w:val="center"/>
              <w:rPr>
                <w:bCs/>
                <w:sz w:val="22"/>
              </w:rPr>
            </w:pPr>
            <w:r>
              <w:rPr>
                <w:rFonts w:hint="eastAsia"/>
                <w:bCs/>
                <w:sz w:val="22"/>
              </w:rPr>
              <w:t>5</w:t>
            </w:r>
          </w:p>
        </w:tc>
        <w:tc>
          <w:tcPr>
            <w:tcW w:w="1124" w:type="dxa"/>
            <w:tcBorders>
              <w:bottom w:val="single" w:color="auto" w:sz="4" w:space="0"/>
            </w:tcBorders>
            <w:vAlign w:val="center"/>
          </w:tcPr>
          <w:p w14:paraId="6C5E09A5">
            <w:pPr>
              <w:snapToGrid w:val="0"/>
              <w:rPr>
                <w:rFonts w:eastAsiaTheme="minorEastAsia"/>
                <w:bCs/>
                <w:szCs w:val="21"/>
              </w:rPr>
            </w:pPr>
            <w:r>
              <w:rPr>
                <w:rFonts w:eastAsiaTheme="minorEastAsia"/>
                <w:kern w:val="0"/>
                <w:szCs w:val="21"/>
              </w:rPr>
              <w:t>2017年12月01日</w:t>
            </w:r>
          </w:p>
        </w:tc>
        <w:tc>
          <w:tcPr>
            <w:tcW w:w="2998" w:type="dxa"/>
            <w:tcBorders>
              <w:bottom w:val="single" w:color="auto" w:sz="4" w:space="0"/>
            </w:tcBorders>
            <w:vAlign w:val="center"/>
          </w:tcPr>
          <w:p w14:paraId="4E2D8805">
            <w:pPr>
              <w:autoSpaceDE w:val="0"/>
              <w:autoSpaceDN w:val="0"/>
              <w:adjustRightInd w:val="0"/>
              <w:snapToGrid w:val="0"/>
              <w:rPr>
                <w:rFonts w:eastAsiaTheme="minorEastAsia"/>
                <w:bCs/>
                <w:szCs w:val="21"/>
              </w:rPr>
            </w:pPr>
            <w:r>
              <w:rPr>
                <w:rFonts w:eastAsiaTheme="minorEastAsia"/>
                <w:kern w:val="0"/>
                <w:szCs w:val="21"/>
              </w:rPr>
              <w:t>小麦条锈菌毒性变异与条锈病综合防治技术体系研发与应用</w:t>
            </w:r>
          </w:p>
        </w:tc>
        <w:tc>
          <w:tcPr>
            <w:tcW w:w="1080" w:type="dxa"/>
            <w:tcBorders>
              <w:bottom w:val="single" w:color="auto" w:sz="4" w:space="0"/>
            </w:tcBorders>
            <w:vAlign w:val="center"/>
          </w:tcPr>
          <w:p w14:paraId="721ACA87">
            <w:pPr>
              <w:autoSpaceDE w:val="0"/>
              <w:autoSpaceDN w:val="0"/>
              <w:adjustRightInd w:val="0"/>
              <w:snapToGrid w:val="0"/>
              <w:rPr>
                <w:rFonts w:eastAsiaTheme="minorEastAsia"/>
                <w:bCs/>
                <w:szCs w:val="21"/>
              </w:rPr>
            </w:pPr>
            <w:r>
              <w:rPr>
                <w:rFonts w:eastAsiaTheme="minorEastAsia"/>
                <w:kern w:val="0"/>
                <w:szCs w:val="21"/>
              </w:rPr>
              <w:t>陕西省科学技术奖</w:t>
            </w:r>
          </w:p>
        </w:tc>
        <w:tc>
          <w:tcPr>
            <w:tcW w:w="1740" w:type="dxa"/>
            <w:tcBorders>
              <w:bottom w:val="single" w:color="auto" w:sz="4" w:space="0"/>
            </w:tcBorders>
            <w:vAlign w:val="center"/>
          </w:tcPr>
          <w:p w14:paraId="64372493">
            <w:pPr>
              <w:snapToGrid w:val="0"/>
              <w:rPr>
                <w:rFonts w:eastAsiaTheme="minorEastAsia"/>
                <w:bCs/>
                <w:szCs w:val="21"/>
              </w:rPr>
            </w:pPr>
            <w:r>
              <w:rPr>
                <w:rFonts w:eastAsiaTheme="minorEastAsia"/>
                <w:bCs/>
                <w:szCs w:val="21"/>
              </w:rPr>
              <w:t>一等奖，排名第一</w:t>
            </w:r>
          </w:p>
        </w:tc>
        <w:tc>
          <w:tcPr>
            <w:tcW w:w="1667" w:type="dxa"/>
            <w:tcBorders>
              <w:bottom w:val="single" w:color="auto" w:sz="4" w:space="0"/>
            </w:tcBorders>
            <w:vAlign w:val="center"/>
          </w:tcPr>
          <w:p w14:paraId="02FEEBAD">
            <w:pPr>
              <w:snapToGrid w:val="0"/>
              <w:rPr>
                <w:rFonts w:eastAsiaTheme="minorEastAsia"/>
                <w:bCs/>
                <w:szCs w:val="21"/>
              </w:rPr>
            </w:pPr>
            <w:r>
              <w:rPr>
                <w:rFonts w:eastAsiaTheme="minorEastAsia"/>
                <w:bCs/>
                <w:szCs w:val="21"/>
              </w:rPr>
              <w:t>陕西省人民政府</w:t>
            </w:r>
          </w:p>
        </w:tc>
      </w:tr>
      <w:tr w14:paraId="4A8331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1884F54F">
            <w:pPr>
              <w:spacing w:line="390" w:lineRule="exact"/>
              <w:jc w:val="center"/>
              <w:rPr>
                <w:bCs/>
                <w:sz w:val="22"/>
              </w:rPr>
            </w:pPr>
            <w:r>
              <w:rPr>
                <w:rFonts w:hint="eastAsia"/>
                <w:bCs/>
                <w:sz w:val="22"/>
              </w:rPr>
              <w:t>6</w:t>
            </w:r>
          </w:p>
        </w:tc>
        <w:tc>
          <w:tcPr>
            <w:tcW w:w="1124" w:type="dxa"/>
            <w:tcBorders>
              <w:bottom w:val="single" w:color="auto" w:sz="4" w:space="0"/>
            </w:tcBorders>
            <w:vAlign w:val="center"/>
          </w:tcPr>
          <w:p w14:paraId="582BEDA8">
            <w:pPr>
              <w:snapToGrid w:val="0"/>
              <w:rPr>
                <w:rFonts w:eastAsiaTheme="minorEastAsia"/>
                <w:bCs/>
                <w:szCs w:val="21"/>
              </w:rPr>
            </w:pPr>
            <w:r>
              <w:rPr>
                <w:rFonts w:eastAsiaTheme="minorEastAsia"/>
                <w:kern w:val="0"/>
                <w:szCs w:val="21"/>
              </w:rPr>
              <w:t>2010年12月01日</w:t>
            </w:r>
          </w:p>
        </w:tc>
        <w:tc>
          <w:tcPr>
            <w:tcW w:w="2998" w:type="dxa"/>
            <w:tcBorders>
              <w:bottom w:val="single" w:color="auto" w:sz="4" w:space="0"/>
            </w:tcBorders>
            <w:vAlign w:val="center"/>
          </w:tcPr>
          <w:p w14:paraId="02132E3C">
            <w:pPr>
              <w:autoSpaceDE w:val="0"/>
              <w:autoSpaceDN w:val="0"/>
              <w:adjustRightInd w:val="0"/>
              <w:snapToGrid w:val="0"/>
              <w:rPr>
                <w:rFonts w:eastAsiaTheme="minorEastAsia"/>
                <w:bCs/>
                <w:szCs w:val="21"/>
              </w:rPr>
            </w:pPr>
            <w:r>
              <w:rPr>
                <w:rFonts w:eastAsiaTheme="minorEastAsia"/>
                <w:kern w:val="0"/>
                <w:szCs w:val="21"/>
              </w:rPr>
              <w:t>条锈病菌与小麦相互作用的分子基础</w:t>
            </w:r>
          </w:p>
        </w:tc>
        <w:tc>
          <w:tcPr>
            <w:tcW w:w="1080" w:type="dxa"/>
            <w:tcBorders>
              <w:bottom w:val="single" w:color="auto" w:sz="4" w:space="0"/>
            </w:tcBorders>
            <w:vAlign w:val="center"/>
          </w:tcPr>
          <w:p w14:paraId="193B8F81">
            <w:pPr>
              <w:autoSpaceDE w:val="0"/>
              <w:autoSpaceDN w:val="0"/>
              <w:adjustRightInd w:val="0"/>
              <w:snapToGrid w:val="0"/>
              <w:rPr>
                <w:rFonts w:eastAsiaTheme="minorEastAsia"/>
                <w:bCs/>
                <w:szCs w:val="21"/>
              </w:rPr>
            </w:pPr>
            <w:r>
              <w:rPr>
                <w:rFonts w:eastAsiaTheme="minorEastAsia"/>
                <w:kern w:val="0"/>
                <w:szCs w:val="21"/>
              </w:rPr>
              <w:t>陕西省科学技术奖</w:t>
            </w:r>
          </w:p>
        </w:tc>
        <w:tc>
          <w:tcPr>
            <w:tcW w:w="1740" w:type="dxa"/>
            <w:tcBorders>
              <w:bottom w:val="single" w:color="auto" w:sz="4" w:space="0"/>
            </w:tcBorders>
            <w:vAlign w:val="center"/>
          </w:tcPr>
          <w:p w14:paraId="3A655E81">
            <w:pPr>
              <w:snapToGrid w:val="0"/>
              <w:rPr>
                <w:rFonts w:eastAsiaTheme="minorEastAsia"/>
                <w:bCs/>
                <w:szCs w:val="21"/>
              </w:rPr>
            </w:pPr>
            <w:r>
              <w:rPr>
                <w:rFonts w:eastAsiaTheme="minorEastAsia"/>
                <w:bCs/>
                <w:szCs w:val="21"/>
              </w:rPr>
              <w:t>一等奖，排名第一</w:t>
            </w:r>
          </w:p>
        </w:tc>
        <w:tc>
          <w:tcPr>
            <w:tcW w:w="1667" w:type="dxa"/>
            <w:tcBorders>
              <w:bottom w:val="single" w:color="auto" w:sz="4" w:space="0"/>
            </w:tcBorders>
            <w:vAlign w:val="center"/>
          </w:tcPr>
          <w:p w14:paraId="1685C446">
            <w:pPr>
              <w:snapToGrid w:val="0"/>
              <w:rPr>
                <w:rFonts w:eastAsiaTheme="minorEastAsia"/>
                <w:bCs/>
                <w:szCs w:val="21"/>
              </w:rPr>
            </w:pPr>
            <w:r>
              <w:rPr>
                <w:rFonts w:eastAsiaTheme="minorEastAsia"/>
                <w:bCs/>
                <w:szCs w:val="21"/>
              </w:rPr>
              <w:t>陕西省人民政府</w:t>
            </w:r>
          </w:p>
        </w:tc>
      </w:tr>
      <w:tr w14:paraId="6744D0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27B2E3D0">
            <w:pPr>
              <w:spacing w:line="390" w:lineRule="exact"/>
              <w:jc w:val="center"/>
              <w:rPr>
                <w:bCs/>
                <w:sz w:val="22"/>
              </w:rPr>
            </w:pPr>
            <w:r>
              <w:rPr>
                <w:bCs/>
                <w:sz w:val="22"/>
              </w:rPr>
              <w:t>7</w:t>
            </w:r>
          </w:p>
        </w:tc>
        <w:tc>
          <w:tcPr>
            <w:tcW w:w="1124" w:type="dxa"/>
            <w:tcBorders>
              <w:bottom w:val="single" w:color="auto" w:sz="4" w:space="0"/>
            </w:tcBorders>
            <w:vAlign w:val="center"/>
          </w:tcPr>
          <w:p w14:paraId="0FB1380A">
            <w:pPr>
              <w:snapToGrid w:val="0"/>
              <w:rPr>
                <w:rFonts w:eastAsiaTheme="minorEastAsia"/>
                <w:bCs/>
                <w:szCs w:val="21"/>
              </w:rPr>
            </w:pPr>
            <w:r>
              <w:rPr>
                <w:rFonts w:eastAsiaTheme="minorEastAsia"/>
                <w:kern w:val="0"/>
                <w:szCs w:val="21"/>
              </w:rPr>
              <w:t>2008年12月01日</w:t>
            </w:r>
          </w:p>
        </w:tc>
        <w:tc>
          <w:tcPr>
            <w:tcW w:w="2998" w:type="dxa"/>
            <w:tcBorders>
              <w:bottom w:val="single" w:color="auto" w:sz="4" w:space="0"/>
            </w:tcBorders>
            <w:vAlign w:val="center"/>
          </w:tcPr>
          <w:p w14:paraId="2BA319E1">
            <w:pPr>
              <w:snapToGrid w:val="0"/>
              <w:rPr>
                <w:rFonts w:eastAsiaTheme="minorEastAsia"/>
                <w:bCs/>
                <w:szCs w:val="21"/>
              </w:rPr>
            </w:pPr>
            <w:r>
              <w:rPr>
                <w:rFonts w:eastAsiaTheme="minorEastAsia"/>
                <w:bCs/>
                <w:szCs w:val="21"/>
              </w:rPr>
              <w:t>小麦赤霉病防治基础与应用研究</w:t>
            </w:r>
          </w:p>
        </w:tc>
        <w:tc>
          <w:tcPr>
            <w:tcW w:w="1080" w:type="dxa"/>
            <w:tcBorders>
              <w:bottom w:val="single" w:color="auto" w:sz="4" w:space="0"/>
            </w:tcBorders>
            <w:vAlign w:val="center"/>
          </w:tcPr>
          <w:p w14:paraId="45397D68">
            <w:pPr>
              <w:autoSpaceDE w:val="0"/>
              <w:autoSpaceDN w:val="0"/>
              <w:adjustRightInd w:val="0"/>
              <w:snapToGrid w:val="0"/>
              <w:rPr>
                <w:rFonts w:eastAsiaTheme="minorEastAsia"/>
                <w:bCs/>
                <w:szCs w:val="21"/>
              </w:rPr>
            </w:pPr>
            <w:r>
              <w:rPr>
                <w:rFonts w:eastAsiaTheme="minorEastAsia"/>
                <w:kern w:val="0"/>
                <w:szCs w:val="21"/>
              </w:rPr>
              <w:t>陕西省科学技术奖</w:t>
            </w:r>
          </w:p>
        </w:tc>
        <w:tc>
          <w:tcPr>
            <w:tcW w:w="1740" w:type="dxa"/>
            <w:tcBorders>
              <w:bottom w:val="single" w:color="auto" w:sz="4" w:space="0"/>
            </w:tcBorders>
            <w:vAlign w:val="center"/>
          </w:tcPr>
          <w:p w14:paraId="178A6E32">
            <w:pPr>
              <w:snapToGrid w:val="0"/>
              <w:rPr>
                <w:rFonts w:eastAsiaTheme="minorEastAsia"/>
                <w:bCs/>
                <w:szCs w:val="21"/>
              </w:rPr>
            </w:pPr>
            <w:r>
              <w:rPr>
                <w:rFonts w:eastAsiaTheme="minorEastAsia"/>
                <w:bCs/>
                <w:szCs w:val="21"/>
              </w:rPr>
              <w:t>一等奖，排名第一</w:t>
            </w:r>
          </w:p>
        </w:tc>
        <w:tc>
          <w:tcPr>
            <w:tcW w:w="1667" w:type="dxa"/>
            <w:tcBorders>
              <w:bottom w:val="single" w:color="auto" w:sz="4" w:space="0"/>
            </w:tcBorders>
            <w:vAlign w:val="center"/>
          </w:tcPr>
          <w:p w14:paraId="5CCFB451">
            <w:pPr>
              <w:snapToGrid w:val="0"/>
              <w:rPr>
                <w:rFonts w:eastAsiaTheme="minorEastAsia"/>
                <w:bCs/>
                <w:szCs w:val="21"/>
              </w:rPr>
            </w:pPr>
            <w:r>
              <w:rPr>
                <w:rFonts w:eastAsiaTheme="minorEastAsia"/>
                <w:bCs/>
                <w:szCs w:val="21"/>
              </w:rPr>
              <w:t>陕西省人民政府</w:t>
            </w:r>
          </w:p>
        </w:tc>
      </w:tr>
      <w:tr w14:paraId="26556B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374FBF5A">
            <w:pPr>
              <w:spacing w:line="390" w:lineRule="exact"/>
              <w:jc w:val="center"/>
              <w:rPr>
                <w:bCs/>
                <w:sz w:val="22"/>
              </w:rPr>
            </w:pPr>
            <w:r>
              <w:rPr>
                <w:rFonts w:hint="eastAsia"/>
                <w:bCs/>
                <w:sz w:val="22"/>
              </w:rPr>
              <w:t>8</w:t>
            </w:r>
          </w:p>
        </w:tc>
        <w:tc>
          <w:tcPr>
            <w:tcW w:w="1124" w:type="dxa"/>
            <w:tcBorders>
              <w:bottom w:val="single" w:color="auto" w:sz="4" w:space="0"/>
            </w:tcBorders>
            <w:vAlign w:val="center"/>
          </w:tcPr>
          <w:p w14:paraId="6909247B">
            <w:pPr>
              <w:snapToGrid w:val="0"/>
              <w:rPr>
                <w:rFonts w:eastAsiaTheme="minorEastAsia"/>
                <w:bCs/>
                <w:szCs w:val="21"/>
              </w:rPr>
            </w:pPr>
            <w:r>
              <w:rPr>
                <w:rFonts w:eastAsiaTheme="minorEastAsia"/>
                <w:kern w:val="0"/>
                <w:szCs w:val="21"/>
              </w:rPr>
              <w:t>2003年12月01日</w:t>
            </w:r>
          </w:p>
        </w:tc>
        <w:tc>
          <w:tcPr>
            <w:tcW w:w="2998" w:type="dxa"/>
            <w:tcBorders>
              <w:bottom w:val="single" w:color="auto" w:sz="4" w:space="0"/>
            </w:tcBorders>
            <w:vAlign w:val="center"/>
          </w:tcPr>
          <w:p w14:paraId="470B1392">
            <w:pPr>
              <w:snapToGrid w:val="0"/>
              <w:rPr>
                <w:rFonts w:eastAsiaTheme="minorEastAsia"/>
                <w:bCs/>
                <w:szCs w:val="21"/>
              </w:rPr>
            </w:pPr>
            <w:r>
              <w:rPr>
                <w:rFonts w:eastAsiaTheme="minorEastAsia"/>
                <w:bCs/>
                <w:szCs w:val="21"/>
              </w:rPr>
              <w:t>植物病原真菌与寄主植物互作关系的超微机构和细胞化学研究</w:t>
            </w:r>
          </w:p>
        </w:tc>
        <w:tc>
          <w:tcPr>
            <w:tcW w:w="1080" w:type="dxa"/>
            <w:tcBorders>
              <w:bottom w:val="single" w:color="auto" w:sz="4" w:space="0"/>
            </w:tcBorders>
            <w:vAlign w:val="center"/>
          </w:tcPr>
          <w:p w14:paraId="7FCDCFA3">
            <w:pPr>
              <w:autoSpaceDE w:val="0"/>
              <w:autoSpaceDN w:val="0"/>
              <w:adjustRightInd w:val="0"/>
              <w:snapToGrid w:val="0"/>
              <w:rPr>
                <w:rFonts w:eastAsiaTheme="minorEastAsia"/>
                <w:bCs/>
                <w:szCs w:val="21"/>
              </w:rPr>
            </w:pPr>
            <w:r>
              <w:rPr>
                <w:rFonts w:eastAsiaTheme="minorEastAsia"/>
                <w:kern w:val="0"/>
                <w:szCs w:val="21"/>
              </w:rPr>
              <w:t>陕西省科学技术奖</w:t>
            </w:r>
          </w:p>
        </w:tc>
        <w:tc>
          <w:tcPr>
            <w:tcW w:w="1740" w:type="dxa"/>
            <w:tcBorders>
              <w:bottom w:val="single" w:color="auto" w:sz="4" w:space="0"/>
            </w:tcBorders>
            <w:vAlign w:val="center"/>
          </w:tcPr>
          <w:p w14:paraId="33C23ADE">
            <w:pPr>
              <w:snapToGrid w:val="0"/>
              <w:rPr>
                <w:rFonts w:eastAsiaTheme="minorEastAsia"/>
                <w:bCs/>
                <w:szCs w:val="21"/>
              </w:rPr>
            </w:pPr>
            <w:r>
              <w:rPr>
                <w:rFonts w:eastAsiaTheme="minorEastAsia"/>
                <w:bCs/>
                <w:szCs w:val="21"/>
              </w:rPr>
              <w:t>一等奖，排名第一</w:t>
            </w:r>
          </w:p>
        </w:tc>
        <w:tc>
          <w:tcPr>
            <w:tcW w:w="1667" w:type="dxa"/>
            <w:tcBorders>
              <w:bottom w:val="single" w:color="auto" w:sz="4" w:space="0"/>
            </w:tcBorders>
            <w:vAlign w:val="center"/>
          </w:tcPr>
          <w:p w14:paraId="570B1817">
            <w:pPr>
              <w:snapToGrid w:val="0"/>
              <w:rPr>
                <w:rFonts w:eastAsiaTheme="minorEastAsia"/>
                <w:bCs/>
                <w:szCs w:val="21"/>
              </w:rPr>
            </w:pPr>
            <w:r>
              <w:rPr>
                <w:rFonts w:eastAsiaTheme="minorEastAsia"/>
                <w:bCs/>
                <w:szCs w:val="21"/>
              </w:rPr>
              <w:t>陕西省人民政府</w:t>
            </w:r>
          </w:p>
        </w:tc>
      </w:tr>
      <w:tr w14:paraId="35BE7B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22500E86">
            <w:pPr>
              <w:spacing w:line="390" w:lineRule="exact"/>
              <w:jc w:val="center"/>
              <w:rPr>
                <w:bCs/>
                <w:sz w:val="22"/>
              </w:rPr>
            </w:pPr>
            <w:r>
              <w:rPr>
                <w:rFonts w:hint="eastAsia"/>
                <w:bCs/>
                <w:sz w:val="22"/>
              </w:rPr>
              <w:t>9</w:t>
            </w:r>
          </w:p>
        </w:tc>
        <w:tc>
          <w:tcPr>
            <w:tcW w:w="1124" w:type="dxa"/>
            <w:tcBorders>
              <w:bottom w:val="single" w:color="auto" w:sz="4" w:space="0"/>
            </w:tcBorders>
            <w:vAlign w:val="center"/>
          </w:tcPr>
          <w:p w14:paraId="29914139">
            <w:pPr>
              <w:snapToGrid w:val="0"/>
              <w:rPr>
                <w:rFonts w:eastAsiaTheme="minorEastAsia"/>
                <w:bCs/>
                <w:szCs w:val="21"/>
              </w:rPr>
            </w:pPr>
            <w:r>
              <w:rPr>
                <w:rFonts w:eastAsiaTheme="minorEastAsia"/>
                <w:kern w:val="0"/>
                <w:szCs w:val="21"/>
              </w:rPr>
              <w:t>2005年12月01日</w:t>
            </w:r>
          </w:p>
        </w:tc>
        <w:tc>
          <w:tcPr>
            <w:tcW w:w="2998" w:type="dxa"/>
            <w:tcBorders>
              <w:bottom w:val="single" w:color="auto" w:sz="4" w:space="0"/>
            </w:tcBorders>
            <w:vAlign w:val="center"/>
          </w:tcPr>
          <w:p w14:paraId="127C4B3A">
            <w:pPr>
              <w:snapToGrid w:val="0"/>
              <w:rPr>
                <w:rFonts w:eastAsiaTheme="minorEastAsia"/>
                <w:bCs/>
                <w:szCs w:val="21"/>
              </w:rPr>
            </w:pPr>
            <w:r>
              <w:rPr>
                <w:rFonts w:eastAsiaTheme="minorEastAsia"/>
                <w:bCs/>
                <w:szCs w:val="21"/>
              </w:rPr>
              <w:t>小麦品种抗条锈性丧失原因及控制对策研究</w:t>
            </w:r>
          </w:p>
        </w:tc>
        <w:tc>
          <w:tcPr>
            <w:tcW w:w="1080" w:type="dxa"/>
            <w:tcBorders>
              <w:bottom w:val="single" w:color="auto" w:sz="4" w:space="0"/>
            </w:tcBorders>
            <w:vAlign w:val="center"/>
          </w:tcPr>
          <w:p w14:paraId="26397329">
            <w:pPr>
              <w:snapToGrid w:val="0"/>
              <w:rPr>
                <w:rFonts w:eastAsiaTheme="minorEastAsia"/>
                <w:bCs/>
                <w:szCs w:val="21"/>
              </w:rPr>
            </w:pPr>
            <w:r>
              <w:rPr>
                <w:rFonts w:eastAsiaTheme="minorEastAsia"/>
                <w:kern w:val="0"/>
                <w:szCs w:val="21"/>
              </w:rPr>
              <w:t>陕西省科学技术奖</w:t>
            </w:r>
          </w:p>
        </w:tc>
        <w:tc>
          <w:tcPr>
            <w:tcW w:w="1740" w:type="dxa"/>
            <w:tcBorders>
              <w:bottom w:val="single" w:color="auto" w:sz="4" w:space="0"/>
            </w:tcBorders>
            <w:vAlign w:val="center"/>
          </w:tcPr>
          <w:p w14:paraId="20B20549">
            <w:pPr>
              <w:snapToGrid w:val="0"/>
              <w:rPr>
                <w:rFonts w:eastAsiaTheme="minorEastAsia"/>
                <w:bCs/>
                <w:szCs w:val="21"/>
              </w:rPr>
            </w:pPr>
            <w:r>
              <w:rPr>
                <w:rFonts w:eastAsiaTheme="minorEastAsia"/>
                <w:bCs/>
                <w:szCs w:val="21"/>
              </w:rPr>
              <w:t>一等奖，排名第二</w:t>
            </w:r>
          </w:p>
        </w:tc>
        <w:tc>
          <w:tcPr>
            <w:tcW w:w="1667" w:type="dxa"/>
            <w:tcBorders>
              <w:bottom w:val="single" w:color="auto" w:sz="4" w:space="0"/>
            </w:tcBorders>
            <w:vAlign w:val="center"/>
          </w:tcPr>
          <w:p w14:paraId="21E7A5A6">
            <w:pPr>
              <w:snapToGrid w:val="0"/>
              <w:rPr>
                <w:rFonts w:eastAsiaTheme="minorEastAsia"/>
                <w:bCs/>
                <w:szCs w:val="21"/>
              </w:rPr>
            </w:pPr>
            <w:r>
              <w:rPr>
                <w:rFonts w:eastAsiaTheme="minorEastAsia"/>
                <w:bCs/>
                <w:szCs w:val="21"/>
              </w:rPr>
              <w:t>陕西省人民政府</w:t>
            </w:r>
          </w:p>
        </w:tc>
      </w:tr>
      <w:tr w14:paraId="370E2C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20EAE8ED">
            <w:pPr>
              <w:spacing w:line="390" w:lineRule="exact"/>
              <w:jc w:val="center"/>
              <w:rPr>
                <w:bCs/>
                <w:sz w:val="22"/>
              </w:rPr>
            </w:pPr>
            <w:r>
              <w:rPr>
                <w:rFonts w:hint="eastAsia"/>
                <w:bCs/>
                <w:sz w:val="22"/>
              </w:rPr>
              <w:t>10</w:t>
            </w:r>
          </w:p>
        </w:tc>
        <w:tc>
          <w:tcPr>
            <w:tcW w:w="1124" w:type="dxa"/>
            <w:tcBorders>
              <w:bottom w:val="single" w:color="auto" w:sz="4" w:space="0"/>
            </w:tcBorders>
            <w:vAlign w:val="center"/>
          </w:tcPr>
          <w:p w14:paraId="775DBDD0">
            <w:pPr>
              <w:snapToGrid w:val="0"/>
              <w:rPr>
                <w:rFonts w:eastAsiaTheme="minorEastAsia"/>
                <w:bCs/>
                <w:szCs w:val="21"/>
              </w:rPr>
            </w:pPr>
            <w:r>
              <w:rPr>
                <w:rFonts w:eastAsiaTheme="minorEastAsia"/>
                <w:kern w:val="0"/>
                <w:szCs w:val="21"/>
              </w:rPr>
              <w:t>2011年12月01日</w:t>
            </w:r>
          </w:p>
        </w:tc>
        <w:tc>
          <w:tcPr>
            <w:tcW w:w="2998" w:type="dxa"/>
            <w:tcBorders>
              <w:bottom w:val="single" w:color="auto" w:sz="4" w:space="0"/>
            </w:tcBorders>
            <w:vAlign w:val="center"/>
          </w:tcPr>
          <w:p w14:paraId="13DA72A1">
            <w:pPr>
              <w:autoSpaceDE w:val="0"/>
              <w:autoSpaceDN w:val="0"/>
              <w:adjustRightInd w:val="0"/>
              <w:snapToGrid w:val="0"/>
              <w:rPr>
                <w:rFonts w:eastAsiaTheme="minorEastAsia"/>
                <w:bCs/>
                <w:szCs w:val="21"/>
              </w:rPr>
            </w:pPr>
            <w:r>
              <w:rPr>
                <w:rFonts w:eastAsiaTheme="minorEastAsia"/>
                <w:kern w:val="0"/>
                <w:szCs w:val="21"/>
              </w:rPr>
              <w:t>小麦与条锈菌互作机理研究及抗条锈相关基因的功能分析</w:t>
            </w:r>
          </w:p>
        </w:tc>
        <w:tc>
          <w:tcPr>
            <w:tcW w:w="1080" w:type="dxa"/>
            <w:tcBorders>
              <w:bottom w:val="single" w:color="auto" w:sz="4" w:space="0"/>
            </w:tcBorders>
            <w:vAlign w:val="center"/>
          </w:tcPr>
          <w:p w14:paraId="503E84D4">
            <w:pPr>
              <w:autoSpaceDE w:val="0"/>
              <w:autoSpaceDN w:val="0"/>
              <w:adjustRightInd w:val="0"/>
              <w:snapToGrid w:val="0"/>
              <w:rPr>
                <w:rFonts w:eastAsiaTheme="minorEastAsia"/>
                <w:kern w:val="0"/>
                <w:szCs w:val="21"/>
              </w:rPr>
            </w:pPr>
            <w:r>
              <w:rPr>
                <w:rFonts w:eastAsiaTheme="minorEastAsia"/>
                <w:kern w:val="0"/>
                <w:szCs w:val="21"/>
              </w:rPr>
              <w:t>全国百篇优秀博</w:t>
            </w:r>
          </w:p>
          <w:p w14:paraId="1490D114">
            <w:pPr>
              <w:autoSpaceDE w:val="0"/>
              <w:autoSpaceDN w:val="0"/>
              <w:adjustRightInd w:val="0"/>
              <w:snapToGrid w:val="0"/>
              <w:rPr>
                <w:rFonts w:eastAsiaTheme="minorEastAsia"/>
                <w:kern w:val="0"/>
                <w:szCs w:val="21"/>
              </w:rPr>
            </w:pPr>
            <w:r>
              <w:rPr>
                <w:rFonts w:eastAsiaTheme="minorEastAsia"/>
                <w:kern w:val="0"/>
                <w:szCs w:val="21"/>
              </w:rPr>
              <w:t>士学位论文指导</w:t>
            </w:r>
          </w:p>
          <w:p w14:paraId="14298959">
            <w:pPr>
              <w:snapToGrid w:val="0"/>
              <w:rPr>
                <w:rFonts w:eastAsiaTheme="minorEastAsia"/>
                <w:bCs/>
                <w:szCs w:val="21"/>
              </w:rPr>
            </w:pPr>
            <w:r>
              <w:rPr>
                <w:rFonts w:eastAsiaTheme="minorEastAsia"/>
                <w:kern w:val="0"/>
                <w:szCs w:val="21"/>
              </w:rPr>
              <w:t>教师</w:t>
            </w:r>
          </w:p>
        </w:tc>
        <w:tc>
          <w:tcPr>
            <w:tcW w:w="1740" w:type="dxa"/>
            <w:tcBorders>
              <w:bottom w:val="single" w:color="auto" w:sz="4" w:space="0"/>
            </w:tcBorders>
            <w:vAlign w:val="center"/>
          </w:tcPr>
          <w:p w14:paraId="1F95363C">
            <w:pPr>
              <w:snapToGrid w:val="0"/>
              <w:rPr>
                <w:rFonts w:eastAsiaTheme="minorEastAsia"/>
                <w:bCs/>
                <w:szCs w:val="21"/>
              </w:rPr>
            </w:pPr>
            <w:r>
              <w:rPr>
                <w:rFonts w:eastAsiaTheme="minorEastAsia"/>
                <w:bCs/>
                <w:szCs w:val="21"/>
              </w:rPr>
              <w:t>指导教师</w:t>
            </w:r>
          </w:p>
        </w:tc>
        <w:tc>
          <w:tcPr>
            <w:tcW w:w="1667" w:type="dxa"/>
            <w:tcBorders>
              <w:bottom w:val="single" w:color="auto" w:sz="4" w:space="0"/>
            </w:tcBorders>
            <w:vAlign w:val="center"/>
          </w:tcPr>
          <w:p w14:paraId="155D6DDD">
            <w:pPr>
              <w:snapToGrid w:val="0"/>
              <w:rPr>
                <w:rFonts w:eastAsiaTheme="minorEastAsia"/>
                <w:bCs/>
                <w:szCs w:val="21"/>
              </w:rPr>
            </w:pPr>
            <w:r>
              <w:rPr>
                <w:rFonts w:eastAsiaTheme="minorEastAsia"/>
                <w:bCs/>
                <w:szCs w:val="21"/>
              </w:rPr>
              <w:t>教育部</w:t>
            </w:r>
          </w:p>
        </w:tc>
      </w:tr>
      <w:tr w14:paraId="152F55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240842C6">
            <w:pPr>
              <w:spacing w:line="390" w:lineRule="exact"/>
              <w:jc w:val="center"/>
              <w:rPr>
                <w:bCs/>
                <w:sz w:val="22"/>
              </w:rPr>
            </w:pPr>
            <w:r>
              <w:rPr>
                <w:rFonts w:hint="eastAsia"/>
                <w:bCs/>
                <w:sz w:val="22"/>
              </w:rPr>
              <w:t>11</w:t>
            </w:r>
          </w:p>
        </w:tc>
        <w:tc>
          <w:tcPr>
            <w:tcW w:w="1124" w:type="dxa"/>
            <w:tcBorders>
              <w:bottom w:val="single" w:color="auto" w:sz="4" w:space="0"/>
            </w:tcBorders>
            <w:vAlign w:val="center"/>
          </w:tcPr>
          <w:p w14:paraId="75B4B223">
            <w:pPr>
              <w:snapToGrid w:val="0"/>
              <w:rPr>
                <w:rFonts w:eastAsiaTheme="minorEastAsia"/>
                <w:kern w:val="0"/>
                <w:szCs w:val="21"/>
              </w:rPr>
            </w:pPr>
            <w:r>
              <w:rPr>
                <w:rFonts w:eastAsiaTheme="minorEastAsia"/>
                <w:kern w:val="0"/>
                <w:szCs w:val="21"/>
              </w:rPr>
              <w:t>2018年12月01日</w:t>
            </w:r>
          </w:p>
        </w:tc>
        <w:tc>
          <w:tcPr>
            <w:tcW w:w="2998" w:type="dxa"/>
            <w:tcBorders>
              <w:bottom w:val="single" w:color="auto" w:sz="4" w:space="0"/>
            </w:tcBorders>
            <w:vAlign w:val="center"/>
          </w:tcPr>
          <w:p w14:paraId="7DE40697">
            <w:pPr>
              <w:autoSpaceDE w:val="0"/>
              <w:autoSpaceDN w:val="0"/>
              <w:adjustRightInd w:val="0"/>
              <w:snapToGrid w:val="0"/>
              <w:rPr>
                <w:rFonts w:eastAsiaTheme="minorEastAsia"/>
                <w:kern w:val="0"/>
                <w:szCs w:val="21"/>
              </w:rPr>
            </w:pPr>
            <w:r>
              <w:rPr>
                <w:rFonts w:eastAsiaTheme="minorEastAsia"/>
                <w:kern w:val="0"/>
                <w:szCs w:val="21"/>
              </w:rPr>
              <w:t>全国创新争先奖</w:t>
            </w:r>
          </w:p>
        </w:tc>
        <w:tc>
          <w:tcPr>
            <w:tcW w:w="1080" w:type="dxa"/>
            <w:tcBorders>
              <w:bottom w:val="single" w:color="auto" w:sz="4" w:space="0"/>
            </w:tcBorders>
            <w:vAlign w:val="center"/>
          </w:tcPr>
          <w:p w14:paraId="520F9B67">
            <w:pPr>
              <w:autoSpaceDE w:val="0"/>
              <w:autoSpaceDN w:val="0"/>
              <w:adjustRightInd w:val="0"/>
              <w:snapToGrid w:val="0"/>
              <w:rPr>
                <w:rFonts w:eastAsiaTheme="minorEastAsia"/>
                <w:kern w:val="0"/>
                <w:szCs w:val="21"/>
              </w:rPr>
            </w:pPr>
            <w:r>
              <w:rPr>
                <w:rFonts w:eastAsiaTheme="minorEastAsia"/>
                <w:kern w:val="0"/>
                <w:szCs w:val="21"/>
              </w:rPr>
              <w:t>全国创新争先奖</w:t>
            </w:r>
          </w:p>
        </w:tc>
        <w:tc>
          <w:tcPr>
            <w:tcW w:w="1740" w:type="dxa"/>
            <w:tcBorders>
              <w:bottom w:val="single" w:color="auto" w:sz="4" w:space="0"/>
            </w:tcBorders>
            <w:vAlign w:val="center"/>
          </w:tcPr>
          <w:p w14:paraId="48615302">
            <w:pPr>
              <w:snapToGrid w:val="0"/>
              <w:rPr>
                <w:rFonts w:eastAsiaTheme="minorEastAsia"/>
                <w:bCs/>
                <w:szCs w:val="21"/>
              </w:rPr>
            </w:pPr>
            <w:r>
              <w:rPr>
                <w:rFonts w:eastAsiaTheme="minorEastAsia"/>
                <w:bCs/>
                <w:szCs w:val="21"/>
              </w:rPr>
              <w:t>奖状</w:t>
            </w:r>
          </w:p>
        </w:tc>
        <w:tc>
          <w:tcPr>
            <w:tcW w:w="1667" w:type="dxa"/>
            <w:tcBorders>
              <w:bottom w:val="single" w:color="auto" w:sz="4" w:space="0"/>
            </w:tcBorders>
            <w:vAlign w:val="center"/>
          </w:tcPr>
          <w:p w14:paraId="33DF971A">
            <w:pPr>
              <w:autoSpaceDE w:val="0"/>
              <w:autoSpaceDN w:val="0"/>
              <w:adjustRightInd w:val="0"/>
              <w:snapToGrid w:val="0"/>
              <w:rPr>
                <w:rFonts w:eastAsiaTheme="minorEastAsia"/>
                <w:bCs/>
                <w:szCs w:val="21"/>
              </w:rPr>
            </w:pPr>
            <w:r>
              <w:rPr>
                <w:rFonts w:eastAsiaTheme="minorEastAsia"/>
                <w:kern w:val="0"/>
                <w:szCs w:val="21"/>
              </w:rPr>
              <w:t>人力资源和社会保障部，中国科学技术协会，科学技术部，国务院国有资产监督管理委员会</w:t>
            </w:r>
          </w:p>
        </w:tc>
      </w:tr>
      <w:tr w14:paraId="355D74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70F9068B">
            <w:pPr>
              <w:spacing w:line="390" w:lineRule="exact"/>
              <w:jc w:val="center"/>
              <w:rPr>
                <w:bCs/>
                <w:sz w:val="22"/>
              </w:rPr>
            </w:pPr>
            <w:r>
              <w:rPr>
                <w:rFonts w:hint="eastAsia"/>
                <w:bCs/>
                <w:sz w:val="22"/>
              </w:rPr>
              <w:t>12</w:t>
            </w:r>
          </w:p>
        </w:tc>
        <w:tc>
          <w:tcPr>
            <w:tcW w:w="1124" w:type="dxa"/>
            <w:tcBorders>
              <w:bottom w:val="single" w:color="auto" w:sz="4" w:space="0"/>
            </w:tcBorders>
            <w:vAlign w:val="center"/>
          </w:tcPr>
          <w:p w14:paraId="6B8419E9">
            <w:pPr>
              <w:snapToGrid w:val="0"/>
              <w:rPr>
                <w:rFonts w:eastAsiaTheme="minorEastAsia"/>
                <w:kern w:val="0"/>
                <w:szCs w:val="21"/>
              </w:rPr>
            </w:pPr>
            <w:r>
              <w:rPr>
                <w:rFonts w:eastAsiaTheme="minorEastAsia"/>
                <w:kern w:val="0"/>
                <w:szCs w:val="21"/>
              </w:rPr>
              <w:t>2004年04月01日</w:t>
            </w:r>
          </w:p>
        </w:tc>
        <w:tc>
          <w:tcPr>
            <w:tcW w:w="2998" w:type="dxa"/>
            <w:tcBorders>
              <w:bottom w:val="single" w:color="auto" w:sz="4" w:space="0"/>
            </w:tcBorders>
            <w:vAlign w:val="center"/>
          </w:tcPr>
          <w:p w14:paraId="6E025EB8">
            <w:pPr>
              <w:autoSpaceDE w:val="0"/>
              <w:autoSpaceDN w:val="0"/>
              <w:adjustRightInd w:val="0"/>
              <w:snapToGrid w:val="0"/>
              <w:rPr>
                <w:rFonts w:eastAsiaTheme="minorEastAsia"/>
                <w:kern w:val="0"/>
                <w:szCs w:val="21"/>
              </w:rPr>
            </w:pPr>
            <w:r>
              <w:rPr>
                <w:rFonts w:eastAsiaTheme="minorEastAsia"/>
                <w:kern w:val="0"/>
                <w:szCs w:val="21"/>
              </w:rPr>
              <w:t>新世纪百千万人才工程</w:t>
            </w:r>
          </w:p>
        </w:tc>
        <w:tc>
          <w:tcPr>
            <w:tcW w:w="1080" w:type="dxa"/>
            <w:tcBorders>
              <w:bottom w:val="single" w:color="auto" w:sz="4" w:space="0"/>
            </w:tcBorders>
            <w:vAlign w:val="center"/>
          </w:tcPr>
          <w:p w14:paraId="617DE7A7">
            <w:pPr>
              <w:autoSpaceDE w:val="0"/>
              <w:autoSpaceDN w:val="0"/>
              <w:adjustRightInd w:val="0"/>
              <w:snapToGrid w:val="0"/>
              <w:rPr>
                <w:rFonts w:eastAsiaTheme="minorEastAsia"/>
                <w:kern w:val="0"/>
                <w:szCs w:val="21"/>
              </w:rPr>
            </w:pPr>
            <w:r>
              <w:rPr>
                <w:rFonts w:eastAsiaTheme="minorEastAsia"/>
                <w:kern w:val="0"/>
                <w:szCs w:val="21"/>
              </w:rPr>
              <w:t>新世纪百千万人才工程国家级人选</w:t>
            </w:r>
          </w:p>
        </w:tc>
        <w:tc>
          <w:tcPr>
            <w:tcW w:w="1740" w:type="dxa"/>
            <w:tcBorders>
              <w:bottom w:val="single" w:color="auto" w:sz="4" w:space="0"/>
            </w:tcBorders>
            <w:vAlign w:val="center"/>
          </w:tcPr>
          <w:p w14:paraId="3A54DFF0">
            <w:pPr>
              <w:snapToGrid w:val="0"/>
              <w:rPr>
                <w:rFonts w:eastAsiaTheme="minorEastAsia"/>
                <w:bCs/>
                <w:szCs w:val="21"/>
              </w:rPr>
            </w:pPr>
            <w:r>
              <w:rPr>
                <w:rFonts w:eastAsiaTheme="minorEastAsia"/>
                <w:kern w:val="0"/>
                <w:szCs w:val="21"/>
              </w:rPr>
              <w:t>国家级人选</w:t>
            </w:r>
          </w:p>
        </w:tc>
        <w:tc>
          <w:tcPr>
            <w:tcW w:w="1667" w:type="dxa"/>
            <w:tcBorders>
              <w:bottom w:val="single" w:color="auto" w:sz="4" w:space="0"/>
            </w:tcBorders>
            <w:vAlign w:val="center"/>
          </w:tcPr>
          <w:p w14:paraId="0ECF0274">
            <w:pPr>
              <w:snapToGrid w:val="0"/>
              <w:rPr>
                <w:rFonts w:eastAsiaTheme="minorEastAsia"/>
                <w:bCs/>
                <w:szCs w:val="21"/>
              </w:rPr>
            </w:pPr>
            <w:r>
              <w:rPr>
                <w:rFonts w:eastAsiaTheme="minorEastAsia"/>
                <w:kern w:val="0"/>
                <w:szCs w:val="21"/>
              </w:rPr>
              <w:t>人事部</w:t>
            </w:r>
          </w:p>
        </w:tc>
      </w:tr>
      <w:tr w14:paraId="12565F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0E37AED9">
            <w:pPr>
              <w:spacing w:line="390" w:lineRule="exact"/>
              <w:jc w:val="center"/>
              <w:rPr>
                <w:bCs/>
                <w:sz w:val="22"/>
              </w:rPr>
            </w:pPr>
            <w:r>
              <w:rPr>
                <w:rFonts w:hint="eastAsia"/>
                <w:bCs/>
                <w:sz w:val="22"/>
              </w:rPr>
              <w:t>13</w:t>
            </w:r>
          </w:p>
        </w:tc>
        <w:tc>
          <w:tcPr>
            <w:tcW w:w="1124" w:type="dxa"/>
            <w:tcBorders>
              <w:bottom w:val="single" w:color="auto" w:sz="4" w:space="0"/>
            </w:tcBorders>
            <w:vAlign w:val="center"/>
          </w:tcPr>
          <w:p w14:paraId="25699BA0">
            <w:pPr>
              <w:snapToGrid w:val="0"/>
              <w:rPr>
                <w:rFonts w:eastAsiaTheme="minorEastAsia"/>
                <w:kern w:val="0"/>
                <w:szCs w:val="21"/>
              </w:rPr>
            </w:pPr>
            <w:r>
              <w:rPr>
                <w:rFonts w:eastAsiaTheme="minorEastAsia"/>
                <w:kern w:val="0"/>
                <w:szCs w:val="21"/>
              </w:rPr>
              <w:t>2016年05月01日</w:t>
            </w:r>
          </w:p>
        </w:tc>
        <w:tc>
          <w:tcPr>
            <w:tcW w:w="2998" w:type="dxa"/>
            <w:tcBorders>
              <w:bottom w:val="single" w:color="auto" w:sz="4" w:space="0"/>
            </w:tcBorders>
            <w:vAlign w:val="center"/>
          </w:tcPr>
          <w:p w14:paraId="212F2228">
            <w:pPr>
              <w:autoSpaceDE w:val="0"/>
              <w:autoSpaceDN w:val="0"/>
              <w:adjustRightInd w:val="0"/>
              <w:snapToGrid w:val="0"/>
              <w:rPr>
                <w:rFonts w:eastAsiaTheme="minorEastAsia"/>
                <w:kern w:val="0"/>
                <w:szCs w:val="21"/>
              </w:rPr>
            </w:pPr>
            <w:r>
              <w:rPr>
                <w:rFonts w:eastAsiaTheme="minorEastAsia"/>
                <w:kern w:val="0"/>
                <w:szCs w:val="21"/>
              </w:rPr>
              <w:t>全国优秀</w:t>
            </w:r>
            <w:r>
              <w:rPr>
                <w:rFonts w:hint="eastAsia" w:eastAsiaTheme="minorEastAsia"/>
                <w:kern w:val="0"/>
                <w:szCs w:val="21"/>
              </w:rPr>
              <w:t>科技</w:t>
            </w:r>
            <w:r>
              <w:rPr>
                <w:rFonts w:eastAsiaTheme="minorEastAsia"/>
                <w:kern w:val="0"/>
                <w:szCs w:val="21"/>
              </w:rPr>
              <w:t>工作者</w:t>
            </w:r>
          </w:p>
        </w:tc>
        <w:tc>
          <w:tcPr>
            <w:tcW w:w="1080" w:type="dxa"/>
            <w:tcBorders>
              <w:bottom w:val="single" w:color="auto" w:sz="4" w:space="0"/>
            </w:tcBorders>
            <w:vAlign w:val="center"/>
          </w:tcPr>
          <w:p w14:paraId="7E45824E">
            <w:pPr>
              <w:autoSpaceDE w:val="0"/>
              <w:autoSpaceDN w:val="0"/>
              <w:adjustRightInd w:val="0"/>
              <w:snapToGrid w:val="0"/>
              <w:rPr>
                <w:rFonts w:eastAsiaTheme="minorEastAsia"/>
                <w:kern w:val="0"/>
                <w:szCs w:val="21"/>
              </w:rPr>
            </w:pPr>
            <w:r>
              <w:rPr>
                <w:rFonts w:eastAsiaTheme="minorEastAsia"/>
                <w:kern w:val="0"/>
                <w:szCs w:val="21"/>
              </w:rPr>
              <w:t>全国优秀工作者</w:t>
            </w:r>
          </w:p>
        </w:tc>
        <w:tc>
          <w:tcPr>
            <w:tcW w:w="1740" w:type="dxa"/>
            <w:tcBorders>
              <w:bottom w:val="single" w:color="auto" w:sz="4" w:space="0"/>
            </w:tcBorders>
            <w:vAlign w:val="center"/>
          </w:tcPr>
          <w:p w14:paraId="3FD1EF2B">
            <w:pPr>
              <w:snapToGrid w:val="0"/>
              <w:rPr>
                <w:rFonts w:eastAsiaTheme="minorEastAsia"/>
                <w:bCs/>
                <w:szCs w:val="21"/>
              </w:rPr>
            </w:pPr>
            <w:r>
              <w:rPr>
                <w:rFonts w:eastAsiaTheme="minorEastAsia"/>
                <w:kern w:val="0"/>
                <w:szCs w:val="21"/>
              </w:rPr>
              <w:t>全国优秀</w:t>
            </w:r>
            <w:r>
              <w:rPr>
                <w:rFonts w:hint="eastAsia" w:eastAsiaTheme="minorEastAsia"/>
                <w:kern w:val="0"/>
                <w:szCs w:val="21"/>
              </w:rPr>
              <w:t>科技</w:t>
            </w:r>
            <w:r>
              <w:rPr>
                <w:rFonts w:eastAsiaTheme="minorEastAsia"/>
                <w:kern w:val="0"/>
                <w:szCs w:val="21"/>
              </w:rPr>
              <w:t>工作者</w:t>
            </w:r>
          </w:p>
        </w:tc>
        <w:tc>
          <w:tcPr>
            <w:tcW w:w="1667" w:type="dxa"/>
            <w:tcBorders>
              <w:bottom w:val="single" w:color="auto" w:sz="4" w:space="0"/>
            </w:tcBorders>
            <w:vAlign w:val="center"/>
          </w:tcPr>
          <w:p w14:paraId="11F42F41">
            <w:pPr>
              <w:snapToGrid w:val="0"/>
              <w:rPr>
                <w:rFonts w:eastAsiaTheme="minorEastAsia"/>
                <w:bCs/>
                <w:szCs w:val="21"/>
              </w:rPr>
            </w:pPr>
            <w:r>
              <w:rPr>
                <w:rFonts w:eastAsiaTheme="minorEastAsia"/>
                <w:kern w:val="0"/>
                <w:szCs w:val="21"/>
              </w:rPr>
              <w:t>中国科学技术协会</w:t>
            </w:r>
          </w:p>
        </w:tc>
      </w:tr>
      <w:tr w14:paraId="0BCB2D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30FC521E">
            <w:pPr>
              <w:spacing w:line="390" w:lineRule="exact"/>
              <w:jc w:val="center"/>
              <w:rPr>
                <w:bCs/>
                <w:sz w:val="22"/>
              </w:rPr>
            </w:pPr>
            <w:r>
              <w:rPr>
                <w:rFonts w:hint="eastAsia"/>
                <w:bCs/>
                <w:sz w:val="22"/>
              </w:rPr>
              <w:t>14</w:t>
            </w:r>
          </w:p>
        </w:tc>
        <w:tc>
          <w:tcPr>
            <w:tcW w:w="1124" w:type="dxa"/>
            <w:tcBorders>
              <w:bottom w:val="single" w:color="auto" w:sz="4" w:space="0"/>
            </w:tcBorders>
            <w:vAlign w:val="center"/>
          </w:tcPr>
          <w:p w14:paraId="1A7C5C90">
            <w:pPr>
              <w:snapToGrid w:val="0"/>
              <w:rPr>
                <w:rFonts w:eastAsiaTheme="minorEastAsia"/>
                <w:kern w:val="0"/>
                <w:szCs w:val="21"/>
              </w:rPr>
            </w:pPr>
            <w:r>
              <w:rPr>
                <w:rFonts w:eastAsiaTheme="minorEastAsia"/>
                <w:kern w:val="0"/>
                <w:szCs w:val="21"/>
              </w:rPr>
              <w:t>2004年09月01日</w:t>
            </w:r>
          </w:p>
        </w:tc>
        <w:tc>
          <w:tcPr>
            <w:tcW w:w="2998" w:type="dxa"/>
            <w:tcBorders>
              <w:bottom w:val="single" w:color="auto" w:sz="4" w:space="0"/>
            </w:tcBorders>
            <w:vAlign w:val="center"/>
          </w:tcPr>
          <w:p w14:paraId="33F2E826">
            <w:pPr>
              <w:autoSpaceDE w:val="0"/>
              <w:autoSpaceDN w:val="0"/>
              <w:adjustRightInd w:val="0"/>
              <w:snapToGrid w:val="0"/>
              <w:rPr>
                <w:rFonts w:eastAsiaTheme="minorEastAsia"/>
                <w:kern w:val="0"/>
                <w:szCs w:val="21"/>
              </w:rPr>
            </w:pPr>
            <w:r>
              <w:rPr>
                <w:rFonts w:eastAsiaTheme="minorEastAsia"/>
                <w:kern w:val="0"/>
                <w:szCs w:val="21"/>
              </w:rPr>
              <w:t>全国模范教师</w:t>
            </w:r>
          </w:p>
        </w:tc>
        <w:tc>
          <w:tcPr>
            <w:tcW w:w="1080" w:type="dxa"/>
            <w:tcBorders>
              <w:bottom w:val="single" w:color="auto" w:sz="4" w:space="0"/>
            </w:tcBorders>
            <w:vAlign w:val="center"/>
          </w:tcPr>
          <w:p w14:paraId="25A3BD47">
            <w:pPr>
              <w:autoSpaceDE w:val="0"/>
              <w:autoSpaceDN w:val="0"/>
              <w:adjustRightInd w:val="0"/>
              <w:snapToGrid w:val="0"/>
              <w:rPr>
                <w:rFonts w:eastAsiaTheme="minorEastAsia"/>
                <w:kern w:val="0"/>
                <w:szCs w:val="21"/>
              </w:rPr>
            </w:pPr>
            <w:r>
              <w:rPr>
                <w:rFonts w:eastAsiaTheme="minorEastAsia"/>
                <w:kern w:val="0"/>
                <w:szCs w:val="21"/>
              </w:rPr>
              <w:t>全国模范教师</w:t>
            </w:r>
          </w:p>
        </w:tc>
        <w:tc>
          <w:tcPr>
            <w:tcW w:w="1740" w:type="dxa"/>
            <w:tcBorders>
              <w:bottom w:val="single" w:color="auto" w:sz="4" w:space="0"/>
            </w:tcBorders>
            <w:vAlign w:val="center"/>
          </w:tcPr>
          <w:p w14:paraId="78839706">
            <w:pPr>
              <w:snapToGrid w:val="0"/>
              <w:rPr>
                <w:rFonts w:eastAsiaTheme="minorEastAsia"/>
                <w:bCs/>
                <w:szCs w:val="21"/>
              </w:rPr>
            </w:pPr>
            <w:r>
              <w:rPr>
                <w:rFonts w:eastAsiaTheme="minorEastAsia"/>
                <w:kern w:val="0"/>
                <w:szCs w:val="21"/>
              </w:rPr>
              <w:t>全国模范教师</w:t>
            </w:r>
          </w:p>
        </w:tc>
        <w:tc>
          <w:tcPr>
            <w:tcW w:w="1667" w:type="dxa"/>
            <w:tcBorders>
              <w:bottom w:val="single" w:color="auto" w:sz="4" w:space="0"/>
            </w:tcBorders>
            <w:vAlign w:val="center"/>
          </w:tcPr>
          <w:p w14:paraId="6BF39A6A">
            <w:pPr>
              <w:snapToGrid w:val="0"/>
              <w:rPr>
                <w:rFonts w:eastAsiaTheme="minorEastAsia"/>
                <w:bCs/>
                <w:szCs w:val="21"/>
              </w:rPr>
            </w:pPr>
            <w:r>
              <w:rPr>
                <w:rFonts w:eastAsiaTheme="minorEastAsia"/>
                <w:kern w:val="0"/>
                <w:szCs w:val="21"/>
              </w:rPr>
              <w:t>教育部，人事部</w:t>
            </w:r>
          </w:p>
        </w:tc>
      </w:tr>
      <w:tr w14:paraId="2CEE4B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635DEAF2">
            <w:pPr>
              <w:spacing w:line="390" w:lineRule="exact"/>
              <w:jc w:val="center"/>
              <w:rPr>
                <w:bCs/>
                <w:sz w:val="22"/>
              </w:rPr>
            </w:pPr>
            <w:r>
              <w:rPr>
                <w:rFonts w:hint="eastAsia"/>
                <w:bCs/>
                <w:sz w:val="22"/>
              </w:rPr>
              <w:t>15</w:t>
            </w:r>
          </w:p>
        </w:tc>
        <w:tc>
          <w:tcPr>
            <w:tcW w:w="1124" w:type="dxa"/>
            <w:tcBorders>
              <w:bottom w:val="single" w:color="auto" w:sz="4" w:space="0"/>
            </w:tcBorders>
            <w:vAlign w:val="center"/>
          </w:tcPr>
          <w:p w14:paraId="43CB009A">
            <w:pPr>
              <w:snapToGrid w:val="0"/>
              <w:rPr>
                <w:rFonts w:eastAsiaTheme="minorEastAsia"/>
                <w:kern w:val="0"/>
                <w:szCs w:val="21"/>
              </w:rPr>
            </w:pPr>
            <w:r>
              <w:rPr>
                <w:rFonts w:eastAsiaTheme="minorEastAsia"/>
                <w:kern w:val="0"/>
                <w:szCs w:val="21"/>
              </w:rPr>
              <w:t>2020年09月18日</w:t>
            </w:r>
          </w:p>
        </w:tc>
        <w:tc>
          <w:tcPr>
            <w:tcW w:w="2998" w:type="dxa"/>
            <w:tcBorders>
              <w:bottom w:val="single" w:color="auto" w:sz="4" w:space="0"/>
            </w:tcBorders>
            <w:vAlign w:val="center"/>
          </w:tcPr>
          <w:p w14:paraId="1878655A">
            <w:pPr>
              <w:autoSpaceDE w:val="0"/>
              <w:autoSpaceDN w:val="0"/>
              <w:adjustRightInd w:val="0"/>
              <w:snapToGrid w:val="0"/>
              <w:rPr>
                <w:rFonts w:eastAsiaTheme="minorEastAsia"/>
                <w:kern w:val="0"/>
                <w:szCs w:val="21"/>
              </w:rPr>
            </w:pPr>
            <w:r>
              <w:rPr>
                <w:rFonts w:eastAsiaTheme="minorEastAsia"/>
                <w:kern w:val="0"/>
                <w:szCs w:val="21"/>
              </w:rPr>
              <w:t>陕西省三秦学者</w:t>
            </w:r>
          </w:p>
        </w:tc>
        <w:tc>
          <w:tcPr>
            <w:tcW w:w="1080" w:type="dxa"/>
            <w:tcBorders>
              <w:bottom w:val="single" w:color="auto" w:sz="4" w:space="0"/>
            </w:tcBorders>
            <w:vAlign w:val="center"/>
          </w:tcPr>
          <w:p w14:paraId="40AEBE59">
            <w:pPr>
              <w:autoSpaceDE w:val="0"/>
              <w:autoSpaceDN w:val="0"/>
              <w:adjustRightInd w:val="0"/>
              <w:snapToGrid w:val="0"/>
              <w:rPr>
                <w:rFonts w:eastAsiaTheme="minorEastAsia"/>
                <w:kern w:val="0"/>
                <w:szCs w:val="21"/>
              </w:rPr>
            </w:pPr>
            <w:r>
              <w:rPr>
                <w:rFonts w:eastAsiaTheme="minorEastAsia"/>
                <w:kern w:val="0"/>
                <w:szCs w:val="21"/>
              </w:rPr>
              <w:t>陕西省三秦学者</w:t>
            </w:r>
          </w:p>
        </w:tc>
        <w:tc>
          <w:tcPr>
            <w:tcW w:w="1740" w:type="dxa"/>
            <w:tcBorders>
              <w:bottom w:val="single" w:color="auto" w:sz="4" w:space="0"/>
            </w:tcBorders>
            <w:vAlign w:val="center"/>
          </w:tcPr>
          <w:p w14:paraId="026026F3">
            <w:pPr>
              <w:snapToGrid w:val="0"/>
              <w:rPr>
                <w:rFonts w:eastAsiaTheme="minorEastAsia"/>
                <w:bCs/>
                <w:szCs w:val="21"/>
              </w:rPr>
            </w:pPr>
            <w:r>
              <w:rPr>
                <w:rFonts w:eastAsiaTheme="minorEastAsia"/>
                <w:kern w:val="0"/>
                <w:szCs w:val="21"/>
              </w:rPr>
              <w:t>陕西省三秦学者</w:t>
            </w:r>
          </w:p>
        </w:tc>
        <w:tc>
          <w:tcPr>
            <w:tcW w:w="1667" w:type="dxa"/>
            <w:tcBorders>
              <w:bottom w:val="single" w:color="auto" w:sz="4" w:space="0"/>
            </w:tcBorders>
            <w:vAlign w:val="center"/>
          </w:tcPr>
          <w:p w14:paraId="07BBC628">
            <w:pPr>
              <w:snapToGrid w:val="0"/>
              <w:rPr>
                <w:rFonts w:eastAsiaTheme="minorEastAsia"/>
                <w:bCs/>
                <w:szCs w:val="21"/>
              </w:rPr>
            </w:pPr>
            <w:r>
              <w:rPr>
                <w:rFonts w:eastAsiaTheme="minorEastAsia"/>
                <w:bCs/>
                <w:szCs w:val="21"/>
              </w:rPr>
              <w:t>中共陕西省委组织部，陕西省人力资源原和社会保障厅</w:t>
            </w:r>
          </w:p>
        </w:tc>
      </w:tr>
      <w:tr w14:paraId="611D86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18676843">
            <w:pPr>
              <w:spacing w:line="390" w:lineRule="exact"/>
              <w:jc w:val="center"/>
              <w:rPr>
                <w:bCs/>
                <w:sz w:val="22"/>
              </w:rPr>
            </w:pPr>
            <w:r>
              <w:rPr>
                <w:rFonts w:hint="eastAsia"/>
                <w:bCs/>
                <w:sz w:val="22"/>
              </w:rPr>
              <w:t>16</w:t>
            </w:r>
          </w:p>
        </w:tc>
        <w:tc>
          <w:tcPr>
            <w:tcW w:w="1124" w:type="dxa"/>
            <w:tcBorders>
              <w:bottom w:val="single" w:color="auto" w:sz="4" w:space="0"/>
            </w:tcBorders>
            <w:vAlign w:val="center"/>
          </w:tcPr>
          <w:p w14:paraId="72E845BA">
            <w:pPr>
              <w:snapToGrid w:val="0"/>
              <w:rPr>
                <w:rFonts w:eastAsiaTheme="minorEastAsia"/>
                <w:kern w:val="0"/>
                <w:szCs w:val="21"/>
              </w:rPr>
            </w:pPr>
            <w:r>
              <w:rPr>
                <w:rFonts w:eastAsiaTheme="minorEastAsia"/>
                <w:kern w:val="0"/>
                <w:szCs w:val="21"/>
              </w:rPr>
              <w:t>2010年04月01日</w:t>
            </w:r>
          </w:p>
        </w:tc>
        <w:tc>
          <w:tcPr>
            <w:tcW w:w="2998" w:type="dxa"/>
            <w:tcBorders>
              <w:bottom w:val="single" w:color="auto" w:sz="4" w:space="0"/>
            </w:tcBorders>
            <w:vAlign w:val="center"/>
          </w:tcPr>
          <w:p w14:paraId="521D9E66">
            <w:pPr>
              <w:autoSpaceDE w:val="0"/>
              <w:autoSpaceDN w:val="0"/>
              <w:adjustRightInd w:val="0"/>
              <w:snapToGrid w:val="0"/>
              <w:rPr>
                <w:rFonts w:eastAsiaTheme="minorEastAsia"/>
                <w:kern w:val="0"/>
                <w:szCs w:val="21"/>
              </w:rPr>
            </w:pPr>
            <w:r>
              <w:rPr>
                <w:rFonts w:eastAsiaTheme="minorEastAsia"/>
                <w:kern w:val="0"/>
                <w:szCs w:val="21"/>
              </w:rPr>
              <w:t>全国先进工作者</w:t>
            </w:r>
          </w:p>
        </w:tc>
        <w:tc>
          <w:tcPr>
            <w:tcW w:w="1080" w:type="dxa"/>
            <w:tcBorders>
              <w:bottom w:val="single" w:color="auto" w:sz="4" w:space="0"/>
            </w:tcBorders>
            <w:vAlign w:val="center"/>
          </w:tcPr>
          <w:p w14:paraId="450359E3">
            <w:pPr>
              <w:autoSpaceDE w:val="0"/>
              <w:autoSpaceDN w:val="0"/>
              <w:adjustRightInd w:val="0"/>
              <w:snapToGrid w:val="0"/>
              <w:rPr>
                <w:rFonts w:eastAsiaTheme="minorEastAsia"/>
                <w:kern w:val="0"/>
                <w:szCs w:val="21"/>
              </w:rPr>
            </w:pPr>
            <w:r>
              <w:rPr>
                <w:rFonts w:eastAsiaTheme="minorEastAsia"/>
                <w:kern w:val="0"/>
                <w:szCs w:val="21"/>
              </w:rPr>
              <w:t>全国先进工作者</w:t>
            </w:r>
          </w:p>
        </w:tc>
        <w:tc>
          <w:tcPr>
            <w:tcW w:w="1740" w:type="dxa"/>
            <w:tcBorders>
              <w:bottom w:val="single" w:color="auto" w:sz="4" w:space="0"/>
            </w:tcBorders>
            <w:vAlign w:val="center"/>
          </w:tcPr>
          <w:p w14:paraId="610E8199">
            <w:pPr>
              <w:snapToGrid w:val="0"/>
              <w:rPr>
                <w:rFonts w:eastAsiaTheme="minorEastAsia"/>
                <w:bCs/>
                <w:szCs w:val="21"/>
              </w:rPr>
            </w:pPr>
            <w:r>
              <w:rPr>
                <w:rFonts w:eastAsiaTheme="minorEastAsia"/>
                <w:kern w:val="0"/>
                <w:szCs w:val="21"/>
              </w:rPr>
              <w:t>全国先进工作者</w:t>
            </w:r>
          </w:p>
        </w:tc>
        <w:tc>
          <w:tcPr>
            <w:tcW w:w="1667" w:type="dxa"/>
            <w:tcBorders>
              <w:bottom w:val="single" w:color="auto" w:sz="4" w:space="0"/>
            </w:tcBorders>
            <w:vAlign w:val="center"/>
          </w:tcPr>
          <w:p w14:paraId="2C1C9002">
            <w:pPr>
              <w:snapToGrid w:val="0"/>
              <w:rPr>
                <w:rFonts w:eastAsiaTheme="minorEastAsia"/>
                <w:bCs/>
                <w:szCs w:val="21"/>
              </w:rPr>
            </w:pPr>
            <w:r>
              <w:rPr>
                <w:rFonts w:eastAsiaTheme="minorEastAsia"/>
                <w:bCs/>
                <w:szCs w:val="21"/>
              </w:rPr>
              <w:t>国务院</w:t>
            </w:r>
          </w:p>
        </w:tc>
      </w:tr>
      <w:tr w14:paraId="416509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9" w:type="dxa"/>
            <w:tcBorders>
              <w:bottom w:val="single" w:color="auto" w:sz="4" w:space="0"/>
            </w:tcBorders>
            <w:vAlign w:val="center"/>
          </w:tcPr>
          <w:p w14:paraId="10058870">
            <w:pPr>
              <w:spacing w:line="390" w:lineRule="exact"/>
              <w:jc w:val="center"/>
              <w:rPr>
                <w:bCs/>
                <w:sz w:val="22"/>
              </w:rPr>
            </w:pPr>
            <w:r>
              <w:rPr>
                <w:rFonts w:hint="eastAsia"/>
                <w:bCs/>
                <w:sz w:val="22"/>
              </w:rPr>
              <w:t>17</w:t>
            </w:r>
          </w:p>
        </w:tc>
        <w:tc>
          <w:tcPr>
            <w:tcW w:w="1124" w:type="dxa"/>
            <w:tcBorders>
              <w:bottom w:val="single" w:color="auto" w:sz="4" w:space="0"/>
            </w:tcBorders>
            <w:vAlign w:val="center"/>
          </w:tcPr>
          <w:p w14:paraId="36B81C23">
            <w:pPr>
              <w:snapToGrid w:val="0"/>
              <w:rPr>
                <w:rFonts w:eastAsiaTheme="minorEastAsia"/>
                <w:kern w:val="0"/>
                <w:szCs w:val="21"/>
              </w:rPr>
            </w:pPr>
            <w:r>
              <w:rPr>
                <w:rFonts w:eastAsiaTheme="minorEastAsia"/>
                <w:kern w:val="0"/>
                <w:szCs w:val="21"/>
              </w:rPr>
              <w:t>1997年08月11</w:t>
            </w:r>
          </w:p>
        </w:tc>
        <w:tc>
          <w:tcPr>
            <w:tcW w:w="2998" w:type="dxa"/>
            <w:tcBorders>
              <w:bottom w:val="single" w:color="auto" w:sz="4" w:space="0"/>
            </w:tcBorders>
            <w:vAlign w:val="center"/>
          </w:tcPr>
          <w:p w14:paraId="091CF08E">
            <w:pPr>
              <w:autoSpaceDE w:val="0"/>
              <w:autoSpaceDN w:val="0"/>
              <w:adjustRightInd w:val="0"/>
              <w:snapToGrid w:val="0"/>
              <w:rPr>
                <w:rFonts w:eastAsiaTheme="minorEastAsia"/>
                <w:kern w:val="0"/>
                <w:szCs w:val="21"/>
              </w:rPr>
            </w:pPr>
            <w:r>
              <w:rPr>
                <w:rFonts w:eastAsiaTheme="minorEastAsia"/>
                <w:kern w:val="0"/>
                <w:szCs w:val="21"/>
              </w:rPr>
              <w:t>中青年有突出贡献专家</w:t>
            </w:r>
          </w:p>
        </w:tc>
        <w:tc>
          <w:tcPr>
            <w:tcW w:w="1080" w:type="dxa"/>
            <w:tcBorders>
              <w:bottom w:val="single" w:color="auto" w:sz="4" w:space="0"/>
            </w:tcBorders>
            <w:vAlign w:val="center"/>
          </w:tcPr>
          <w:p w14:paraId="5BE2473F">
            <w:pPr>
              <w:autoSpaceDE w:val="0"/>
              <w:autoSpaceDN w:val="0"/>
              <w:adjustRightInd w:val="0"/>
              <w:snapToGrid w:val="0"/>
              <w:rPr>
                <w:rFonts w:eastAsiaTheme="minorEastAsia"/>
                <w:kern w:val="0"/>
                <w:szCs w:val="21"/>
              </w:rPr>
            </w:pPr>
            <w:r>
              <w:rPr>
                <w:rFonts w:eastAsiaTheme="minorEastAsia"/>
                <w:kern w:val="0"/>
                <w:szCs w:val="21"/>
              </w:rPr>
              <w:t>中青年有突出贡献专家</w:t>
            </w:r>
          </w:p>
        </w:tc>
        <w:tc>
          <w:tcPr>
            <w:tcW w:w="1740" w:type="dxa"/>
            <w:tcBorders>
              <w:bottom w:val="single" w:color="auto" w:sz="4" w:space="0"/>
            </w:tcBorders>
            <w:vAlign w:val="center"/>
          </w:tcPr>
          <w:p w14:paraId="4CEBFCC9">
            <w:pPr>
              <w:autoSpaceDE w:val="0"/>
              <w:autoSpaceDN w:val="0"/>
              <w:adjustRightInd w:val="0"/>
              <w:snapToGrid w:val="0"/>
              <w:rPr>
                <w:rFonts w:eastAsiaTheme="minorEastAsia"/>
                <w:bCs/>
                <w:szCs w:val="21"/>
              </w:rPr>
            </w:pPr>
            <w:r>
              <w:rPr>
                <w:rFonts w:eastAsiaTheme="minorEastAsia"/>
                <w:kern w:val="0"/>
                <w:szCs w:val="21"/>
              </w:rPr>
              <w:t>农业部中青年有突出贡献专家</w:t>
            </w:r>
          </w:p>
        </w:tc>
        <w:tc>
          <w:tcPr>
            <w:tcW w:w="1667" w:type="dxa"/>
            <w:tcBorders>
              <w:bottom w:val="single" w:color="auto" w:sz="4" w:space="0"/>
            </w:tcBorders>
            <w:vAlign w:val="center"/>
          </w:tcPr>
          <w:p w14:paraId="0A74B485">
            <w:pPr>
              <w:snapToGrid w:val="0"/>
              <w:rPr>
                <w:rFonts w:eastAsiaTheme="minorEastAsia"/>
                <w:bCs/>
                <w:szCs w:val="21"/>
              </w:rPr>
            </w:pPr>
            <w:r>
              <w:rPr>
                <w:rFonts w:eastAsiaTheme="minorEastAsia"/>
                <w:bCs/>
                <w:szCs w:val="21"/>
              </w:rPr>
              <w:t>农业部</w:t>
            </w:r>
          </w:p>
        </w:tc>
      </w:tr>
      <w:tr w14:paraId="7ECF6F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20" w:hRule="atLeast"/>
          <w:jc w:val="center"/>
        </w:trPr>
        <w:tc>
          <w:tcPr>
            <w:tcW w:w="9308" w:type="dxa"/>
            <w:gridSpan w:val="6"/>
            <w:tcBorders>
              <w:top w:val="single" w:color="auto" w:sz="4" w:space="0"/>
              <w:bottom w:val="single" w:color="auto" w:sz="4" w:space="0"/>
            </w:tcBorders>
          </w:tcPr>
          <w:p w14:paraId="7BD62F69">
            <w:pPr>
              <w:spacing w:line="390" w:lineRule="exact"/>
            </w:pPr>
            <w:r>
              <w:t>（请按照科技奖励及荣誉称号的影响大小，顺序填写）</w:t>
            </w:r>
          </w:p>
          <w:p w14:paraId="791FC1D0">
            <w:pPr>
              <w:spacing w:line="390" w:lineRule="exact"/>
            </w:pPr>
            <w:r>
              <w:t>本表所填科技奖励及荣誉称号是指：（数量不限）</w:t>
            </w:r>
          </w:p>
          <w:p w14:paraId="551C2206">
            <w:pPr>
              <w:spacing w:line="390" w:lineRule="exact"/>
              <w:ind w:firstLine="139" w:firstLineChars="58"/>
            </w:pPr>
            <w:bookmarkStart w:id="2" w:name="_Hlk2885239"/>
            <w:r>
              <w:t>1.国务院设立的科技奖励和国家的荣誉称号、表彰；</w:t>
            </w:r>
          </w:p>
          <w:p w14:paraId="1C2A48A9">
            <w:pPr>
              <w:spacing w:line="390" w:lineRule="exact"/>
              <w:ind w:firstLine="139" w:firstLineChars="58"/>
            </w:pPr>
            <w:r>
              <w:t>2.国家部委、陕西省设立的科技奖励和省部级的荣誉称号、表彰；</w:t>
            </w:r>
          </w:p>
          <w:p w14:paraId="126538C1">
            <w:pPr>
              <w:spacing w:line="390" w:lineRule="exact"/>
              <w:ind w:firstLine="139" w:firstLineChars="58"/>
              <w:rPr>
                <w:b/>
                <w:bCs/>
                <w:sz w:val="24"/>
              </w:rPr>
            </w:pPr>
            <w:r>
              <w:t>3.其他有重要学术影响的科技奖励。</w:t>
            </w:r>
            <w:bookmarkEnd w:id="2"/>
          </w:p>
        </w:tc>
      </w:tr>
    </w:tbl>
    <w:p w14:paraId="51AEA78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outlineLvl w:val="1"/>
        <w:rPr>
          <w:rFonts w:hint="default" w:eastAsia="黑体"/>
          <w:sz w:val="24"/>
          <w:lang w:val="en-US" w:eastAsia="zh-CN"/>
        </w:rPr>
      </w:pPr>
      <w:r>
        <w:rPr>
          <w:rFonts w:hint="eastAsia" w:ascii="黑体" w:eastAsia="黑体" w:cs="黑体"/>
          <w:kern w:val="0"/>
          <w:sz w:val="28"/>
          <w:szCs w:val="28"/>
          <w:lang w:val="en-US" w:eastAsia="zh-CN"/>
        </w:rPr>
        <w:t>七</w:t>
      </w:r>
      <w:r>
        <w:rPr>
          <w:rFonts w:hint="eastAsia" w:ascii="黑体" w:eastAsia="黑体" w:cs="黑体"/>
          <w:kern w:val="0"/>
          <w:sz w:val="28"/>
          <w:szCs w:val="28"/>
          <w:lang w:eastAsia="zh-CN"/>
        </w:rPr>
        <w:t>、</w:t>
      </w:r>
      <w:r>
        <w:rPr>
          <w:rFonts w:eastAsia="黑体"/>
          <w:sz w:val="28"/>
        </w:rPr>
        <w:t>候选人</w:t>
      </w:r>
      <w:r>
        <w:rPr>
          <w:rFonts w:hint="eastAsia" w:eastAsia="黑体"/>
          <w:sz w:val="28"/>
          <w:lang w:val="en-US" w:eastAsia="zh-CN"/>
        </w:rPr>
        <w:t>主要知识产权证明目录</w:t>
      </w:r>
    </w:p>
    <w:tbl>
      <w:tblPr>
        <w:tblStyle w:val="4"/>
        <w:tblW w:w="894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80"/>
        <w:gridCol w:w="1088"/>
        <w:gridCol w:w="1276"/>
        <w:gridCol w:w="1134"/>
        <w:gridCol w:w="852"/>
        <w:gridCol w:w="1134"/>
        <w:gridCol w:w="1014"/>
        <w:gridCol w:w="970"/>
        <w:gridCol w:w="898"/>
      </w:tblGrid>
      <w:tr w14:paraId="2A5E31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580" w:type="dxa"/>
            <w:tcBorders>
              <w:top w:val="single" w:color="auto" w:sz="8" w:space="0"/>
              <w:left w:val="single" w:color="auto" w:sz="8" w:space="0"/>
              <w:bottom w:val="single" w:color="auto" w:sz="8" w:space="0"/>
              <w:right w:val="single" w:color="auto" w:sz="8" w:space="0"/>
            </w:tcBorders>
            <w:vAlign w:val="center"/>
          </w:tcPr>
          <w:p w14:paraId="3BD4C5D1">
            <w:pPr>
              <w:keepNext w:val="0"/>
              <w:keepLines w:val="0"/>
              <w:pageBreakBefore w:val="0"/>
              <w:widowControl w:val="0"/>
              <w:kinsoku/>
              <w:wordWrap/>
              <w:overflowPunct/>
              <w:topLinePunct w:val="0"/>
              <w:bidi w:val="0"/>
              <w:snapToGrid/>
              <w:spacing w:line="320" w:lineRule="exact"/>
              <w:jc w:val="center"/>
              <w:textAlignment w:val="auto"/>
              <w:rPr>
                <w:b/>
                <w:bCs/>
                <w:szCs w:val="21"/>
              </w:rPr>
            </w:pPr>
            <w:r>
              <w:rPr>
                <w:b/>
                <w:bCs/>
                <w:szCs w:val="21"/>
              </w:rPr>
              <w:t>序号</w:t>
            </w:r>
          </w:p>
        </w:tc>
        <w:tc>
          <w:tcPr>
            <w:tcW w:w="1088" w:type="dxa"/>
            <w:tcBorders>
              <w:top w:val="single" w:color="auto" w:sz="8" w:space="0"/>
              <w:left w:val="single" w:color="auto" w:sz="8" w:space="0"/>
              <w:bottom w:val="single" w:color="auto" w:sz="8" w:space="0"/>
              <w:right w:val="single" w:color="auto" w:sz="8" w:space="0"/>
            </w:tcBorders>
            <w:vAlign w:val="center"/>
          </w:tcPr>
          <w:p w14:paraId="370BF98A">
            <w:pPr>
              <w:keepNext w:val="0"/>
              <w:keepLines w:val="0"/>
              <w:pageBreakBefore w:val="0"/>
              <w:widowControl w:val="0"/>
              <w:kinsoku/>
              <w:wordWrap/>
              <w:overflowPunct/>
              <w:topLinePunct w:val="0"/>
              <w:bidi w:val="0"/>
              <w:snapToGrid/>
              <w:spacing w:line="320" w:lineRule="exact"/>
              <w:jc w:val="center"/>
              <w:textAlignment w:val="auto"/>
              <w:rPr>
                <w:b/>
                <w:bCs/>
                <w:szCs w:val="21"/>
              </w:rPr>
            </w:pPr>
            <w:r>
              <w:rPr>
                <w:b/>
                <w:bCs/>
                <w:szCs w:val="21"/>
              </w:rPr>
              <w:t>知识产权类    别</w:t>
            </w:r>
          </w:p>
        </w:tc>
        <w:tc>
          <w:tcPr>
            <w:tcW w:w="1276" w:type="dxa"/>
            <w:tcBorders>
              <w:top w:val="single" w:color="auto" w:sz="8" w:space="0"/>
              <w:left w:val="single" w:color="auto" w:sz="8" w:space="0"/>
              <w:bottom w:val="single" w:color="auto" w:sz="8" w:space="0"/>
              <w:right w:val="single" w:color="auto" w:sz="8" w:space="0"/>
            </w:tcBorders>
            <w:vAlign w:val="center"/>
          </w:tcPr>
          <w:p w14:paraId="7D7B425C">
            <w:pPr>
              <w:keepNext w:val="0"/>
              <w:keepLines w:val="0"/>
              <w:pageBreakBefore w:val="0"/>
              <w:widowControl w:val="0"/>
              <w:kinsoku/>
              <w:wordWrap/>
              <w:overflowPunct/>
              <w:topLinePunct w:val="0"/>
              <w:bidi w:val="0"/>
              <w:snapToGrid/>
              <w:spacing w:line="320" w:lineRule="exact"/>
              <w:jc w:val="center"/>
              <w:textAlignment w:val="auto"/>
              <w:rPr>
                <w:b/>
                <w:bCs/>
                <w:szCs w:val="21"/>
              </w:rPr>
            </w:pPr>
            <w:r>
              <w:rPr>
                <w:b/>
                <w:bCs/>
                <w:szCs w:val="21"/>
              </w:rPr>
              <w:t>知识产权</w:t>
            </w:r>
          </w:p>
          <w:p w14:paraId="6FC7BDC7">
            <w:pPr>
              <w:keepNext w:val="0"/>
              <w:keepLines w:val="0"/>
              <w:pageBreakBefore w:val="0"/>
              <w:widowControl w:val="0"/>
              <w:kinsoku/>
              <w:wordWrap/>
              <w:overflowPunct/>
              <w:topLinePunct w:val="0"/>
              <w:bidi w:val="0"/>
              <w:snapToGrid/>
              <w:spacing w:line="320" w:lineRule="exact"/>
              <w:jc w:val="center"/>
              <w:textAlignment w:val="auto"/>
              <w:rPr>
                <w:b/>
                <w:bCs/>
                <w:szCs w:val="21"/>
              </w:rPr>
            </w:pPr>
            <w:r>
              <w:rPr>
                <w:b/>
                <w:bCs/>
                <w:szCs w:val="21"/>
              </w:rPr>
              <w:t>具体名称</w:t>
            </w:r>
          </w:p>
        </w:tc>
        <w:tc>
          <w:tcPr>
            <w:tcW w:w="1134" w:type="dxa"/>
            <w:tcBorders>
              <w:top w:val="single" w:color="auto" w:sz="8" w:space="0"/>
              <w:left w:val="single" w:color="auto" w:sz="8" w:space="0"/>
              <w:bottom w:val="single" w:color="auto" w:sz="8" w:space="0"/>
              <w:right w:val="single" w:color="auto" w:sz="8" w:space="0"/>
            </w:tcBorders>
            <w:vAlign w:val="center"/>
          </w:tcPr>
          <w:p w14:paraId="13ABF4B8">
            <w:pPr>
              <w:keepNext w:val="0"/>
              <w:keepLines w:val="0"/>
              <w:pageBreakBefore w:val="0"/>
              <w:widowControl w:val="0"/>
              <w:kinsoku/>
              <w:wordWrap/>
              <w:overflowPunct/>
              <w:topLinePunct w:val="0"/>
              <w:bidi w:val="0"/>
              <w:snapToGrid/>
              <w:spacing w:line="320" w:lineRule="exact"/>
              <w:jc w:val="center"/>
              <w:textAlignment w:val="auto"/>
              <w:rPr>
                <w:b/>
                <w:bCs/>
                <w:szCs w:val="21"/>
              </w:rPr>
            </w:pPr>
            <w:r>
              <w:rPr>
                <w:b/>
                <w:bCs/>
                <w:szCs w:val="21"/>
              </w:rPr>
              <w:t>国家</w:t>
            </w:r>
          </w:p>
          <w:p w14:paraId="3E3E2407">
            <w:pPr>
              <w:keepNext w:val="0"/>
              <w:keepLines w:val="0"/>
              <w:pageBreakBefore w:val="0"/>
              <w:widowControl w:val="0"/>
              <w:kinsoku/>
              <w:wordWrap/>
              <w:overflowPunct/>
              <w:topLinePunct w:val="0"/>
              <w:bidi w:val="0"/>
              <w:snapToGrid/>
              <w:spacing w:line="320" w:lineRule="exact"/>
              <w:jc w:val="center"/>
              <w:textAlignment w:val="auto"/>
              <w:rPr>
                <w:b/>
                <w:bCs/>
                <w:szCs w:val="21"/>
              </w:rPr>
            </w:pPr>
            <w:r>
              <w:rPr>
                <w:b/>
                <w:bCs/>
                <w:szCs w:val="21"/>
              </w:rPr>
              <w:t>（地区）</w:t>
            </w:r>
          </w:p>
        </w:tc>
        <w:tc>
          <w:tcPr>
            <w:tcW w:w="852" w:type="dxa"/>
            <w:tcBorders>
              <w:top w:val="single" w:color="auto" w:sz="8" w:space="0"/>
              <w:left w:val="single" w:color="auto" w:sz="8" w:space="0"/>
              <w:bottom w:val="single" w:color="auto" w:sz="8" w:space="0"/>
              <w:right w:val="single" w:color="auto" w:sz="8" w:space="0"/>
            </w:tcBorders>
            <w:vAlign w:val="center"/>
          </w:tcPr>
          <w:p w14:paraId="53CC1208">
            <w:pPr>
              <w:keepNext w:val="0"/>
              <w:keepLines w:val="0"/>
              <w:pageBreakBefore w:val="0"/>
              <w:widowControl w:val="0"/>
              <w:kinsoku/>
              <w:wordWrap/>
              <w:overflowPunct/>
              <w:topLinePunct w:val="0"/>
              <w:bidi w:val="0"/>
              <w:snapToGrid/>
              <w:spacing w:line="320" w:lineRule="exact"/>
              <w:jc w:val="center"/>
              <w:textAlignment w:val="auto"/>
              <w:rPr>
                <w:b/>
                <w:bCs/>
                <w:szCs w:val="21"/>
              </w:rPr>
            </w:pPr>
            <w:r>
              <w:rPr>
                <w:b/>
                <w:bCs/>
                <w:szCs w:val="21"/>
              </w:rPr>
              <w:t>授权号</w:t>
            </w:r>
          </w:p>
        </w:tc>
        <w:tc>
          <w:tcPr>
            <w:tcW w:w="1134" w:type="dxa"/>
            <w:tcBorders>
              <w:top w:val="single" w:color="auto" w:sz="8" w:space="0"/>
              <w:left w:val="single" w:color="auto" w:sz="8" w:space="0"/>
              <w:bottom w:val="single" w:color="auto" w:sz="8" w:space="0"/>
              <w:right w:val="single" w:color="auto" w:sz="8" w:space="0"/>
            </w:tcBorders>
            <w:vAlign w:val="center"/>
          </w:tcPr>
          <w:p w14:paraId="562D7392">
            <w:pPr>
              <w:keepNext w:val="0"/>
              <w:keepLines w:val="0"/>
              <w:pageBreakBefore w:val="0"/>
              <w:widowControl w:val="0"/>
              <w:kinsoku/>
              <w:wordWrap/>
              <w:overflowPunct/>
              <w:topLinePunct w:val="0"/>
              <w:bidi w:val="0"/>
              <w:snapToGrid/>
              <w:spacing w:line="320" w:lineRule="exact"/>
              <w:jc w:val="center"/>
              <w:textAlignment w:val="auto"/>
              <w:rPr>
                <w:b/>
                <w:bCs/>
                <w:szCs w:val="21"/>
              </w:rPr>
            </w:pPr>
            <w:r>
              <w:rPr>
                <w:b/>
                <w:bCs/>
                <w:szCs w:val="21"/>
              </w:rPr>
              <w:t>授权日期</w:t>
            </w:r>
          </w:p>
        </w:tc>
        <w:tc>
          <w:tcPr>
            <w:tcW w:w="1014" w:type="dxa"/>
            <w:tcBorders>
              <w:top w:val="single" w:color="auto" w:sz="8" w:space="0"/>
              <w:left w:val="single" w:color="auto" w:sz="8" w:space="0"/>
              <w:bottom w:val="single" w:color="auto" w:sz="8" w:space="0"/>
              <w:right w:val="single" w:color="auto" w:sz="8" w:space="0"/>
            </w:tcBorders>
            <w:vAlign w:val="center"/>
          </w:tcPr>
          <w:p w14:paraId="6B6BBA1F">
            <w:pPr>
              <w:keepNext w:val="0"/>
              <w:keepLines w:val="0"/>
              <w:pageBreakBefore w:val="0"/>
              <w:widowControl w:val="0"/>
              <w:kinsoku/>
              <w:wordWrap/>
              <w:overflowPunct/>
              <w:topLinePunct w:val="0"/>
              <w:bidi w:val="0"/>
              <w:snapToGrid/>
              <w:spacing w:line="320" w:lineRule="exact"/>
              <w:jc w:val="center"/>
              <w:textAlignment w:val="auto"/>
              <w:rPr>
                <w:b/>
                <w:bCs/>
                <w:szCs w:val="21"/>
              </w:rPr>
            </w:pPr>
            <w:r>
              <w:rPr>
                <w:b/>
                <w:bCs/>
                <w:szCs w:val="21"/>
              </w:rPr>
              <w:t>证书编号</w:t>
            </w:r>
          </w:p>
        </w:tc>
        <w:tc>
          <w:tcPr>
            <w:tcW w:w="970" w:type="dxa"/>
            <w:tcBorders>
              <w:top w:val="single" w:color="auto" w:sz="8" w:space="0"/>
              <w:left w:val="single" w:color="auto" w:sz="8" w:space="0"/>
              <w:bottom w:val="single" w:color="auto" w:sz="8" w:space="0"/>
              <w:right w:val="single" w:color="auto" w:sz="8" w:space="0"/>
            </w:tcBorders>
            <w:vAlign w:val="center"/>
          </w:tcPr>
          <w:p w14:paraId="09FFD9D6">
            <w:pPr>
              <w:keepNext w:val="0"/>
              <w:keepLines w:val="0"/>
              <w:pageBreakBefore w:val="0"/>
              <w:widowControl w:val="0"/>
              <w:kinsoku/>
              <w:wordWrap/>
              <w:overflowPunct/>
              <w:topLinePunct w:val="0"/>
              <w:bidi w:val="0"/>
              <w:snapToGrid/>
              <w:spacing w:line="320" w:lineRule="exact"/>
              <w:jc w:val="center"/>
              <w:textAlignment w:val="auto"/>
              <w:rPr>
                <w:b/>
                <w:bCs/>
                <w:szCs w:val="21"/>
              </w:rPr>
            </w:pPr>
            <w:r>
              <w:rPr>
                <w:b/>
                <w:bCs/>
                <w:szCs w:val="21"/>
              </w:rPr>
              <w:t>权利人</w:t>
            </w:r>
          </w:p>
        </w:tc>
        <w:tc>
          <w:tcPr>
            <w:tcW w:w="898" w:type="dxa"/>
            <w:tcBorders>
              <w:top w:val="single" w:color="auto" w:sz="8" w:space="0"/>
              <w:left w:val="single" w:color="auto" w:sz="8" w:space="0"/>
              <w:bottom w:val="single" w:color="auto" w:sz="8" w:space="0"/>
              <w:right w:val="single" w:color="auto" w:sz="8" w:space="0"/>
            </w:tcBorders>
            <w:vAlign w:val="center"/>
          </w:tcPr>
          <w:p w14:paraId="330AF566">
            <w:pPr>
              <w:keepNext w:val="0"/>
              <w:keepLines w:val="0"/>
              <w:pageBreakBefore w:val="0"/>
              <w:widowControl w:val="0"/>
              <w:kinsoku/>
              <w:wordWrap/>
              <w:overflowPunct/>
              <w:topLinePunct w:val="0"/>
              <w:bidi w:val="0"/>
              <w:snapToGrid/>
              <w:spacing w:line="320" w:lineRule="exact"/>
              <w:jc w:val="center"/>
              <w:textAlignment w:val="auto"/>
              <w:rPr>
                <w:b/>
                <w:bCs/>
                <w:szCs w:val="21"/>
              </w:rPr>
            </w:pPr>
            <w:r>
              <w:rPr>
                <w:b/>
                <w:bCs/>
                <w:szCs w:val="21"/>
              </w:rPr>
              <w:t>发明人</w:t>
            </w:r>
          </w:p>
        </w:tc>
      </w:tr>
      <w:tr w14:paraId="409323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580" w:type="dxa"/>
            <w:tcBorders>
              <w:top w:val="single" w:color="auto" w:sz="8" w:space="0"/>
              <w:left w:val="single" w:color="auto" w:sz="8" w:space="0"/>
              <w:bottom w:val="single" w:color="auto" w:sz="8" w:space="0"/>
              <w:right w:val="single" w:color="auto" w:sz="8" w:space="0"/>
            </w:tcBorders>
            <w:vAlign w:val="center"/>
          </w:tcPr>
          <w:p w14:paraId="7207274D">
            <w:pPr>
              <w:keepNext w:val="0"/>
              <w:keepLines w:val="0"/>
              <w:pageBreakBefore w:val="0"/>
              <w:widowControl w:val="0"/>
              <w:kinsoku/>
              <w:wordWrap/>
              <w:overflowPunct/>
              <w:topLinePunct w:val="0"/>
              <w:bidi w:val="0"/>
              <w:snapToGrid/>
              <w:spacing w:line="320" w:lineRule="exact"/>
              <w:jc w:val="center"/>
              <w:textAlignment w:val="auto"/>
              <w:rPr>
                <w:rFonts w:eastAsiaTheme="minorEastAsia"/>
                <w:szCs w:val="21"/>
              </w:rPr>
            </w:pPr>
            <w:r>
              <w:rPr>
                <w:rFonts w:hint="eastAsia" w:eastAsiaTheme="minorEastAsia"/>
                <w:szCs w:val="21"/>
              </w:rPr>
              <w:t>1</w:t>
            </w:r>
          </w:p>
        </w:tc>
        <w:tc>
          <w:tcPr>
            <w:tcW w:w="1088" w:type="dxa"/>
            <w:tcBorders>
              <w:top w:val="single" w:color="auto" w:sz="8" w:space="0"/>
              <w:left w:val="single" w:color="auto" w:sz="8" w:space="0"/>
              <w:bottom w:val="single" w:color="auto" w:sz="8" w:space="0"/>
              <w:right w:val="single" w:color="auto" w:sz="8" w:space="0"/>
            </w:tcBorders>
            <w:vAlign w:val="center"/>
          </w:tcPr>
          <w:p w14:paraId="19F6C138">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发明专利</w:t>
            </w:r>
          </w:p>
        </w:tc>
        <w:tc>
          <w:tcPr>
            <w:tcW w:w="1276" w:type="dxa"/>
            <w:tcBorders>
              <w:top w:val="single" w:color="auto" w:sz="8" w:space="0"/>
              <w:left w:val="single" w:color="auto" w:sz="8" w:space="0"/>
              <w:bottom w:val="single" w:color="auto" w:sz="8" w:space="0"/>
              <w:right w:val="single" w:color="auto" w:sz="8" w:space="0"/>
            </w:tcBorders>
            <w:vAlign w:val="center"/>
          </w:tcPr>
          <w:p w14:paraId="3BFB234A">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一种用于防治小麦全蚀病的芽孢杆菌及其制备方法</w:t>
            </w:r>
          </w:p>
        </w:tc>
        <w:tc>
          <w:tcPr>
            <w:tcW w:w="1134" w:type="dxa"/>
            <w:tcBorders>
              <w:top w:val="single" w:color="auto" w:sz="8" w:space="0"/>
              <w:left w:val="single" w:color="auto" w:sz="8" w:space="0"/>
              <w:bottom w:val="single" w:color="auto" w:sz="8" w:space="0"/>
              <w:right w:val="single" w:color="auto" w:sz="8" w:space="0"/>
            </w:tcBorders>
            <w:vAlign w:val="center"/>
          </w:tcPr>
          <w:p w14:paraId="0FEE1DFC">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中国</w:t>
            </w:r>
          </w:p>
        </w:tc>
        <w:tc>
          <w:tcPr>
            <w:tcW w:w="852" w:type="dxa"/>
            <w:tcBorders>
              <w:top w:val="single" w:color="auto" w:sz="8" w:space="0"/>
              <w:left w:val="single" w:color="auto" w:sz="8" w:space="0"/>
              <w:bottom w:val="single" w:color="auto" w:sz="8" w:space="0"/>
              <w:right w:val="single" w:color="auto" w:sz="8" w:space="0"/>
            </w:tcBorders>
            <w:vAlign w:val="center"/>
          </w:tcPr>
          <w:p w14:paraId="2612A931">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ZL200910021117.7</w:t>
            </w:r>
          </w:p>
        </w:tc>
        <w:tc>
          <w:tcPr>
            <w:tcW w:w="1134" w:type="dxa"/>
            <w:tcBorders>
              <w:top w:val="single" w:color="auto" w:sz="8" w:space="0"/>
              <w:left w:val="single" w:color="auto" w:sz="8" w:space="0"/>
              <w:bottom w:val="single" w:color="auto" w:sz="8" w:space="0"/>
              <w:right w:val="single" w:color="auto" w:sz="8" w:space="0"/>
            </w:tcBorders>
            <w:vAlign w:val="center"/>
          </w:tcPr>
          <w:p w14:paraId="52C4357C">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2011年11月09日</w:t>
            </w:r>
          </w:p>
        </w:tc>
        <w:tc>
          <w:tcPr>
            <w:tcW w:w="1014" w:type="dxa"/>
            <w:tcBorders>
              <w:top w:val="single" w:color="auto" w:sz="8" w:space="0"/>
              <w:left w:val="single" w:color="auto" w:sz="8" w:space="0"/>
              <w:bottom w:val="single" w:color="auto" w:sz="8" w:space="0"/>
              <w:right w:val="single" w:color="auto" w:sz="8" w:space="0"/>
            </w:tcBorders>
            <w:vAlign w:val="center"/>
          </w:tcPr>
          <w:p w14:paraId="7C18733E">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860798</w:t>
            </w:r>
          </w:p>
        </w:tc>
        <w:tc>
          <w:tcPr>
            <w:tcW w:w="970" w:type="dxa"/>
            <w:tcBorders>
              <w:top w:val="single" w:color="auto" w:sz="8" w:space="0"/>
              <w:left w:val="single" w:color="auto" w:sz="8" w:space="0"/>
              <w:bottom w:val="single" w:color="auto" w:sz="8" w:space="0"/>
              <w:right w:val="single" w:color="auto" w:sz="8" w:space="0"/>
            </w:tcBorders>
            <w:vAlign w:val="center"/>
          </w:tcPr>
          <w:p w14:paraId="5569BA2A">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eastAsiaTheme="minorEastAsia"/>
                <w:szCs w:val="21"/>
              </w:rPr>
            </w:pPr>
            <w:r>
              <w:rPr>
                <w:rFonts w:eastAsiaTheme="minorEastAsia"/>
                <w:kern w:val="0"/>
                <w:szCs w:val="21"/>
              </w:rPr>
              <w:t>西北农林科技大学</w:t>
            </w:r>
          </w:p>
        </w:tc>
        <w:tc>
          <w:tcPr>
            <w:tcW w:w="898" w:type="dxa"/>
            <w:tcBorders>
              <w:top w:val="single" w:color="auto" w:sz="8" w:space="0"/>
              <w:left w:val="single" w:color="auto" w:sz="8" w:space="0"/>
              <w:bottom w:val="single" w:color="auto" w:sz="8" w:space="0"/>
              <w:right w:val="single" w:color="auto" w:sz="8" w:space="0"/>
            </w:tcBorders>
            <w:vAlign w:val="center"/>
          </w:tcPr>
          <w:p w14:paraId="6F9D8DD2">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黄丽丽，刘冰云，康振生，乔红萍</w:t>
            </w:r>
          </w:p>
        </w:tc>
      </w:tr>
      <w:tr w14:paraId="47E85E6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580" w:type="dxa"/>
            <w:tcBorders>
              <w:top w:val="single" w:color="auto" w:sz="8" w:space="0"/>
              <w:left w:val="single" w:color="auto" w:sz="8" w:space="0"/>
              <w:bottom w:val="single" w:color="auto" w:sz="8" w:space="0"/>
              <w:right w:val="single" w:color="auto" w:sz="8" w:space="0"/>
            </w:tcBorders>
            <w:vAlign w:val="center"/>
          </w:tcPr>
          <w:p w14:paraId="1FE7C1AF">
            <w:pPr>
              <w:keepNext w:val="0"/>
              <w:keepLines w:val="0"/>
              <w:pageBreakBefore w:val="0"/>
              <w:widowControl w:val="0"/>
              <w:kinsoku/>
              <w:wordWrap/>
              <w:overflowPunct/>
              <w:topLinePunct w:val="0"/>
              <w:bidi w:val="0"/>
              <w:snapToGrid/>
              <w:spacing w:line="320" w:lineRule="exact"/>
              <w:jc w:val="center"/>
              <w:textAlignment w:val="auto"/>
              <w:rPr>
                <w:rFonts w:eastAsiaTheme="minorEastAsia"/>
                <w:szCs w:val="21"/>
              </w:rPr>
            </w:pPr>
            <w:r>
              <w:rPr>
                <w:rFonts w:hint="eastAsia" w:eastAsiaTheme="minorEastAsia"/>
                <w:szCs w:val="21"/>
              </w:rPr>
              <w:t>2</w:t>
            </w:r>
          </w:p>
        </w:tc>
        <w:tc>
          <w:tcPr>
            <w:tcW w:w="1088" w:type="dxa"/>
            <w:tcBorders>
              <w:top w:val="single" w:color="auto" w:sz="8" w:space="0"/>
              <w:left w:val="single" w:color="auto" w:sz="8" w:space="0"/>
              <w:bottom w:val="single" w:color="auto" w:sz="8" w:space="0"/>
              <w:right w:val="single" w:color="auto" w:sz="8" w:space="0"/>
            </w:tcBorders>
            <w:vAlign w:val="center"/>
          </w:tcPr>
          <w:p w14:paraId="0655EB99">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发明专利</w:t>
            </w:r>
          </w:p>
        </w:tc>
        <w:tc>
          <w:tcPr>
            <w:tcW w:w="1276" w:type="dxa"/>
            <w:tcBorders>
              <w:top w:val="single" w:color="auto" w:sz="8" w:space="0"/>
              <w:left w:val="single" w:color="auto" w:sz="8" w:space="0"/>
              <w:bottom w:val="single" w:color="auto" w:sz="8" w:space="0"/>
              <w:right w:val="single" w:color="auto" w:sz="8" w:space="0"/>
            </w:tcBorders>
            <w:vAlign w:val="center"/>
          </w:tcPr>
          <w:p w14:paraId="70D5873C">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一种淡紫灰链霉菌及其活性产物的制备方法和应用</w:t>
            </w:r>
          </w:p>
        </w:tc>
        <w:tc>
          <w:tcPr>
            <w:tcW w:w="1134" w:type="dxa"/>
            <w:tcBorders>
              <w:top w:val="single" w:color="auto" w:sz="8" w:space="0"/>
              <w:left w:val="single" w:color="auto" w:sz="8" w:space="0"/>
              <w:bottom w:val="single" w:color="auto" w:sz="8" w:space="0"/>
              <w:right w:val="single" w:color="auto" w:sz="8" w:space="0"/>
            </w:tcBorders>
            <w:vAlign w:val="center"/>
          </w:tcPr>
          <w:p w14:paraId="0D4C3487">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中国</w:t>
            </w:r>
          </w:p>
        </w:tc>
        <w:tc>
          <w:tcPr>
            <w:tcW w:w="852" w:type="dxa"/>
            <w:tcBorders>
              <w:top w:val="single" w:color="auto" w:sz="8" w:space="0"/>
              <w:left w:val="single" w:color="auto" w:sz="8" w:space="0"/>
              <w:bottom w:val="single" w:color="auto" w:sz="8" w:space="0"/>
              <w:right w:val="single" w:color="auto" w:sz="8" w:space="0"/>
            </w:tcBorders>
            <w:vAlign w:val="center"/>
          </w:tcPr>
          <w:p w14:paraId="6AAF5763">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ZL200910021081.2</w:t>
            </w:r>
          </w:p>
        </w:tc>
        <w:tc>
          <w:tcPr>
            <w:tcW w:w="1134" w:type="dxa"/>
            <w:tcBorders>
              <w:top w:val="single" w:color="auto" w:sz="8" w:space="0"/>
              <w:left w:val="single" w:color="auto" w:sz="8" w:space="0"/>
              <w:bottom w:val="single" w:color="auto" w:sz="8" w:space="0"/>
              <w:right w:val="single" w:color="auto" w:sz="8" w:space="0"/>
            </w:tcBorders>
            <w:vAlign w:val="center"/>
          </w:tcPr>
          <w:p w14:paraId="7E872B10">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2011年09月28日</w:t>
            </w:r>
          </w:p>
        </w:tc>
        <w:tc>
          <w:tcPr>
            <w:tcW w:w="1014" w:type="dxa"/>
            <w:tcBorders>
              <w:top w:val="single" w:color="auto" w:sz="8" w:space="0"/>
              <w:left w:val="single" w:color="auto" w:sz="8" w:space="0"/>
              <w:bottom w:val="single" w:color="auto" w:sz="8" w:space="0"/>
              <w:right w:val="single" w:color="auto" w:sz="8" w:space="0"/>
            </w:tcBorders>
            <w:vAlign w:val="center"/>
          </w:tcPr>
          <w:p w14:paraId="0B25C687">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847089</w:t>
            </w:r>
          </w:p>
        </w:tc>
        <w:tc>
          <w:tcPr>
            <w:tcW w:w="970" w:type="dxa"/>
            <w:tcBorders>
              <w:top w:val="single" w:color="auto" w:sz="8" w:space="0"/>
              <w:left w:val="single" w:color="auto" w:sz="8" w:space="0"/>
              <w:bottom w:val="single" w:color="auto" w:sz="8" w:space="0"/>
              <w:right w:val="single" w:color="auto" w:sz="8" w:space="0"/>
            </w:tcBorders>
            <w:vAlign w:val="center"/>
          </w:tcPr>
          <w:p w14:paraId="7D5586D1">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eastAsiaTheme="minorEastAsia"/>
                <w:szCs w:val="21"/>
              </w:rPr>
            </w:pPr>
            <w:r>
              <w:rPr>
                <w:rFonts w:eastAsiaTheme="minorEastAsia"/>
                <w:kern w:val="0"/>
                <w:szCs w:val="21"/>
              </w:rPr>
              <w:t>西北农林科技大学</w:t>
            </w:r>
          </w:p>
        </w:tc>
        <w:tc>
          <w:tcPr>
            <w:tcW w:w="898" w:type="dxa"/>
            <w:tcBorders>
              <w:top w:val="single" w:color="auto" w:sz="8" w:space="0"/>
              <w:left w:val="single" w:color="auto" w:sz="8" w:space="0"/>
              <w:bottom w:val="single" w:color="auto" w:sz="8" w:space="0"/>
              <w:right w:val="single" w:color="auto" w:sz="8" w:space="0"/>
            </w:tcBorders>
            <w:vAlign w:val="center"/>
          </w:tcPr>
          <w:p w14:paraId="35B8AFE8">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黄丽丽，姜云，康振生，何其瑞</w:t>
            </w:r>
          </w:p>
        </w:tc>
      </w:tr>
      <w:tr w14:paraId="444283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580" w:type="dxa"/>
            <w:tcBorders>
              <w:top w:val="single" w:color="auto" w:sz="8" w:space="0"/>
              <w:left w:val="single" w:color="auto" w:sz="8" w:space="0"/>
              <w:bottom w:val="single" w:color="auto" w:sz="8" w:space="0"/>
              <w:right w:val="single" w:color="auto" w:sz="8" w:space="0"/>
            </w:tcBorders>
            <w:vAlign w:val="center"/>
          </w:tcPr>
          <w:p w14:paraId="7000FF84">
            <w:pPr>
              <w:keepNext w:val="0"/>
              <w:keepLines w:val="0"/>
              <w:pageBreakBefore w:val="0"/>
              <w:widowControl w:val="0"/>
              <w:kinsoku/>
              <w:wordWrap/>
              <w:overflowPunct/>
              <w:topLinePunct w:val="0"/>
              <w:bidi w:val="0"/>
              <w:snapToGrid/>
              <w:spacing w:line="320" w:lineRule="exact"/>
              <w:jc w:val="center"/>
              <w:textAlignment w:val="auto"/>
              <w:rPr>
                <w:rFonts w:eastAsiaTheme="minorEastAsia"/>
                <w:szCs w:val="21"/>
              </w:rPr>
            </w:pPr>
            <w:r>
              <w:rPr>
                <w:rFonts w:hint="eastAsia" w:eastAsiaTheme="minorEastAsia"/>
                <w:szCs w:val="21"/>
              </w:rPr>
              <w:t>3</w:t>
            </w:r>
          </w:p>
        </w:tc>
        <w:tc>
          <w:tcPr>
            <w:tcW w:w="1088" w:type="dxa"/>
            <w:tcBorders>
              <w:top w:val="single" w:color="auto" w:sz="8" w:space="0"/>
              <w:left w:val="single" w:color="auto" w:sz="8" w:space="0"/>
              <w:bottom w:val="single" w:color="auto" w:sz="8" w:space="0"/>
              <w:right w:val="single" w:color="auto" w:sz="8" w:space="0"/>
            </w:tcBorders>
            <w:vAlign w:val="center"/>
          </w:tcPr>
          <w:p w14:paraId="1A197DC9">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发明专利</w:t>
            </w:r>
          </w:p>
        </w:tc>
        <w:tc>
          <w:tcPr>
            <w:tcW w:w="1276" w:type="dxa"/>
            <w:tcBorders>
              <w:top w:val="single" w:color="auto" w:sz="8" w:space="0"/>
              <w:left w:val="single" w:color="auto" w:sz="8" w:space="0"/>
              <w:bottom w:val="single" w:color="auto" w:sz="8" w:space="0"/>
              <w:right w:val="single" w:color="auto" w:sz="8" w:space="0"/>
            </w:tcBorders>
            <w:vAlign w:val="center"/>
          </w:tcPr>
          <w:p w14:paraId="15B4EAC0">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小麦条锈菌分子检测方法</w:t>
            </w:r>
          </w:p>
        </w:tc>
        <w:tc>
          <w:tcPr>
            <w:tcW w:w="1134" w:type="dxa"/>
            <w:tcBorders>
              <w:top w:val="single" w:color="auto" w:sz="8" w:space="0"/>
              <w:left w:val="single" w:color="auto" w:sz="8" w:space="0"/>
              <w:bottom w:val="single" w:color="auto" w:sz="8" w:space="0"/>
              <w:right w:val="single" w:color="auto" w:sz="8" w:space="0"/>
            </w:tcBorders>
            <w:vAlign w:val="center"/>
          </w:tcPr>
          <w:p w14:paraId="26AEB871">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中国</w:t>
            </w:r>
          </w:p>
        </w:tc>
        <w:tc>
          <w:tcPr>
            <w:tcW w:w="852" w:type="dxa"/>
            <w:tcBorders>
              <w:top w:val="single" w:color="auto" w:sz="8" w:space="0"/>
              <w:left w:val="single" w:color="auto" w:sz="8" w:space="0"/>
              <w:bottom w:val="single" w:color="auto" w:sz="8" w:space="0"/>
              <w:right w:val="single" w:color="auto" w:sz="8" w:space="0"/>
            </w:tcBorders>
            <w:vAlign w:val="center"/>
          </w:tcPr>
          <w:p w14:paraId="3156192D">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ZL200610104419.7</w:t>
            </w:r>
          </w:p>
        </w:tc>
        <w:tc>
          <w:tcPr>
            <w:tcW w:w="1134" w:type="dxa"/>
            <w:tcBorders>
              <w:top w:val="single" w:color="auto" w:sz="8" w:space="0"/>
              <w:left w:val="single" w:color="auto" w:sz="8" w:space="0"/>
              <w:bottom w:val="single" w:color="auto" w:sz="8" w:space="0"/>
              <w:right w:val="single" w:color="auto" w:sz="8" w:space="0"/>
            </w:tcBorders>
            <w:vAlign w:val="center"/>
          </w:tcPr>
          <w:p w14:paraId="7260C1FC">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2008年10月29日</w:t>
            </w:r>
          </w:p>
        </w:tc>
        <w:tc>
          <w:tcPr>
            <w:tcW w:w="1014" w:type="dxa"/>
            <w:tcBorders>
              <w:top w:val="single" w:color="auto" w:sz="8" w:space="0"/>
              <w:left w:val="single" w:color="auto" w:sz="8" w:space="0"/>
              <w:bottom w:val="single" w:color="auto" w:sz="8" w:space="0"/>
              <w:right w:val="single" w:color="auto" w:sz="8" w:space="0"/>
            </w:tcBorders>
            <w:vAlign w:val="center"/>
          </w:tcPr>
          <w:p w14:paraId="3C55F2BE">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438783</w:t>
            </w:r>
          </w:p>
        </w:tc>
        <w:tc>
          <w:tcPr>
            <w:tcW w:w="970" w:type="dxa"/>
            <w:tcBorders>
              <w:top w:val="single" w:color="auto" w:sz="8" w:space="0"/>
              <w:left w:val="single" w:color="auto" w:sz="8" w:space="0"/>
              <w:bottom w:val="single" w:color="auto" w:sz="8" w:space="0"/>
              <w:right w:val="single" w:color="auto" w:sz="8" w:space="0"/>
            </w:tcBorders>
            <w:vAlign w:val="center"/>
          </w:tcPr>
          <w:p w14:paraId="06636A04">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eastAsiaTheme="minorEastAsia"/>
                <w:szCs w:val="21"/>
              </w:rPr>
            </w:pPr>
            <w:r>
              <w:rPr>
                <w:rFonts w:eastAsiaTheme="minorEastAsia"/>
                <w:kern w:val="0"/>
                <w:szCs w:val="21"/>
              </w:rPr>
              <w:t>西北农林科技大学</w:t>
            </w:r>
          </w:p>
        </w:tc>
        <w:tc>
          <w:tcPr>
            <w:tcW w:w="898" w:type="dxa"/>
            <w:tcBorders>
              <w:top w:val="single" w:color="auto" w:sz="8" w:space="0"/>
              <w:left w:val="single" w:color="auto" w:sz="8" w:space="0"/>
              <w:bottom w:val="single" w:color="auto" w:sz="8" w:space="0"/>
              <w:right w:val="single" w:color="auto" w:sz="8" w:space="0"/>
            </w:tcBorders>
            <w:vAlign w:val="center"/>
          </w:tcPr>
          <w:p w14:paraId="61482F4B">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康振生，王晓杰，郑文明，黄丽丽，赵杰，韩青梅</w:t>
            </w:r>
          </w:p>
        </w:tc>
      </w:tr>
      <w:tr w14:paraId="5F9D47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580" w:type="dxa"/>
            <w:tcBorders>
              <w:top w:val="single" w:color="auto" w:sz="8" w:space="0"/>
              <w:left w:val="single" w:color="auto" w:sz="8" w:space="0"/>
              <w:bottom w:val="single" w:color="auto" w:sz="8" w:space="0"/>
              <w:right w:val="single" w:color="auto" w:sz="8" w:space="0"/>
            </w:tcBorders>
            <w:vAlign w:val="center"/>
          </w:tcPr>
          <w:p w14:paraId="1BCDCCDD">
            <w:pPr>
              <w:keepNext w:val="0"/>
              <w:keepLines w:val="0"/>
              <w:pageBreakBefore w:val="0"/>
              <w:widowControl w:val="0"/>
              <w:kinsoku/>
              <w:wordWrap/>
              <w:overflowPunct/>
              <w:topLinePunct w:val="0"/>
              <w:bidi w:val="0"/>
              <w:snapToGrid/>
              <w:spacing w:line="320" w:lineRule="exact"/>
              <w:jc w:val="center"/>
              <w:textAlignment w:val="auto"/>
              <w:rPr>
                <w:rFonts w:eastAsiaTheme="minorEastAsia"/>
                <w:szCs w:val="21"/>
              </w:rPr>
            </w:pPr>
            <w:r>
              <w:rPr>
                <w:rFonts w:hint="eastAsia" w:eastAsiaTheme="minorEastAsia"/>
                <w:szCs w:val="21"/>
              </w:rPr>
              <w:t>4</w:t>
            </w:r>
          </w:p>
        </w:tc>
        <w:tc>
          <w:tcPr>
            <w:tcW w:w="1088" w:type="dxa"/>
            <w:tcBorders>
              <w:top w:val="single" w:color="auto" w:sz="8" w:space="0"/>
              <w:left w:val="single" w:color="auto" w:sz="8" w:space="0"/>
              <w:bottom w:val="single" w:color="auto" w:sz="8" w:space="0"/>
              <w:right w:val="single" w:color="auto" w:sz="8" w:space="0"/>
            </w:tcBorders>
            <w:vAlign w:val="center"/>
          </w:tcPr>
          <w:p w14:paraId="6BB95A8D">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发明专利</w:t>
            </w:r>
          </w:p>
        </w:tc>
        <w:tc>
          <w:tcPr>
            <w:tcW w:w="1276" w:type="dxa"/>
            <w:tcBorders>
              <w:top w:val="single" w:color="auto" w:sz="8" w:space="0"/>
              <w:left w:val="single" w:color="auto" w:sz="8" w:space="0"/>
              <w:bottom w:val="single" w:color="auto" w:sz="8" w:space="0"/>
              <w:right w:val="single" w:color="auto" w:sz="8" w:space="0"/>
            </w:tcBorders>
            <w:vAlign w:val="center"/>
          </w:tcPr>
          <w:p w14:paraId="66C48975">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eastAsiaTheme="minorEastAsia"/>
                <w:szCs w:val="21"/>
              </w:rPr>
            </w:pPr>
            <w:r>
              <w:rPr>
                <w:rFonts w:eastAsiaTheme="minorEastAsia"/>
                <w:kern w:val="0"/>
                <w:szCs w:val="21"/>
              </w:rPr>
              <w:t>小麦条锈菌冬孢子萌发技术体系</w:t>
            </w:r>
          </w:p>
        </w:tc>
        <w:tc>
          <w:tcPr>
            <w:tcW w:w="1134" w:type="dxa"/>
            <w:tcBorders>
              <w:top w:val="single" w:color="auto" w:sz="8" w:space="0"/>
              <w:left w:val="single" w:color="auto" w:sz="8" w:space="0"/>
              <w:bottom w:val="single" w:color="auto" w:sz="8" w:space="0"/>
              <w:right w:val="single" w:color="auto" w:sz="8" w:space="0"/>
            </w:tcBorders>
            <w:vAlign w:val="center"/>
          </w:tcPr>
          <w:p w14:paraId="3C0CAB3A">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中国</w:t>
            </w:r>
          </w:p>
        </w:tc>
        <w:tc>
          <w:tcPr>
            <w:tcW w:w="852" w:type="dxa"/>
            <w:tcBorders>
              <w:top w:val="single" w:color="auto" w:sz="8" w:space="0"/>
              <w:left w:val="single" w:color="auto" w:sz="8" w:space="0"/>
              <w:bottom w:val="single" w:color="auto" w:sz="8" w:space="0"/>
              <w:right w:val="single" w:color="auto" w:sz="8" w:space="0"/>
            </w:tcBorders>
            <w:vAlign w:val="center"/>
          </w:tcPr>
          <w:p w14:paraId="11F0ADAB">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ZL201410267881.3</w:t>
            </w:r>
          </w:p>
        </w:tc>
        <w:tc>
          <w:tcPr>
            <w:tcW w:w="1134" w:type="dxa"/>
            <w:tcBorders>
              <w:top w:val="single" w:color="auto" w:sz="8" w:space="0"/>
              <w:left w:val="single" w:color="auto" w:sz="8" w:space="0"/>
              <w:bottom w:val="single" w:color="auto" w:sz="8" w:space="0"/>
              <w:right w:val="single" w:color="auto" w:sz="8" w:space="0"/>
            </w:tcBorders>
            <w:vAlign w:val="center"/>
          </w:tcPr>
          <w:p w14:paraId="57A9ACC8">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2016年09月07日</w:t>
            </w:r>
          </w:p>
        </w:tc>
        <w:tc>
          <w:tcPr>
            <w:tcW w:w="1014" w:type="dxa"/>
            <w:tcBorders>
              <w:top w:val="single" w:color="auto" w:sz="8" w:space="0"/>
              <w:left w:val="single" w:color="auto" w:sz="8" w:space="0"/>
              <w:bottom w:val="single" w:color="auto" w:sz="8" w:space="0"/>
              <w:right w:val="single" w:color="auto" w:sz="8" w:space="0"/>
            </w:tcBorders>
            <w:vAlign w:val="center"/>
          </w:tcPr>
          <w:p w14:paraId="41158D35">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2231149</w:t>
            </w:r>
          </w:p>
        </w:tc>
        <w:tc>
          <w:tcPr>
            <w:tcW w:w="970" w:type="dxa"/>
            <w:tcBorders>
              <w:top w:val="single" w:color="auto" w:sz="8" w:space="0"/>
              <w:left w:val="single" w:color="auto" w:sz="8" w:space="0"/>
              <w:bottom w:val="single" w:color="auto" w:sz="8" w:space="0"/>
              <w:right w:val="single" w:color="auto" w:sz="8" w:space="0"/>
            </w:tcBorders>
            <w:vAlign w:val="center"/>
          </w:tcPr>
          <w:p w14:paraId="6B414ED9">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eastAsiaTheme="minorEastAsia"/>
                <w:szCs w:val="21"/>
              </w:rPr>
            </w:pPr>
            <w:r>
              <w:rPr>
                <w:rFonts w:eastAsiaTheme="minorEastAsia"/>
                <w:kern w:val="0"/>
                <w:szCs w:val="21"/>
              </w:rPr>
              <w:t>西北农林科技大学</w:t>
            </w:r>
          </w:p>
        </w:tc>
        <w:tc>
          <w:tcPr>
            <w:tcW w:w="898" w:type="dxa"/>
            <w:tcBorders>
              <w:top w:val="single" w:color="auto" w:sz="8" w:space="0"/>
              <w:left w:val="single" w:color="auto" w:sz="8" w:space="0"/>
              <w:bottom w:val="single" w:color="auto" w:sz="8" w:space="0"/>
              <w:right w:val="single" w:color="auto" w:sz="8" w:space="0"/>
            </w:tcBorders>
            <w:vAlign w:val="center"/>
          </w:tcPr>
          <w:p w14:paraId="24D16062">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赵杰，康振生，黄丽丽</w:t>
            </w:r>
          </w:p>
        </w:tc>
      </w:tr>
      <w:tr w14:paraId="0B2EBB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580" w:type="dxa"/>
            <w:tcBorders>
              <w:top w:val="single" w:color="auto" w:sz="8" w:space="0"/>
              <w:left w:val="single" w:color="auto" w:sz="8" w:space="0"/>
              <w:bottom w:val="single" w:color="auto" w:sz="8" w:space="0"/>
              <w:right w:val="single" w:color="auto" w:sz="8" w:space="0"/>
            </w:tcBorders>
            <w:vAlign w:val="center"/>
          </w:tcPr>
          <w:p w14:paraId="0CB74E84">
            <w:pPr>
              <w:keepNext w:val="0"/>
              <w:keepLines w:val="0"/>
              <w:pageBreakBefore w:val="0"/>
              <w:widowControl w:val="0"/>
              <w:kinsoku/>
              <w:wordWrap/>
              <w:overflowPunct/>
              <w:topLinePunct w:val="0"/>
              <w:bidi w:val="0"/>
              <w:snapToGrid/>
              <w:spacing w:line="320" w:lineRule="exact"/>
              <w:jc w:val="center"/>
              <w:textAlignment w:val="auto"/>
              <w:rPr>
                <w:rFonts w:eastAsiaTheme="minorEastAsia"/>
                <w:szCs w:val="21"/>
              </w:rPr>
            </w:pPr>
            <w:r>
              <w:rPr>
                <w:rFonts w:hint="eastAsia" w:eastAsiaTheme="minorEastAsia"/>
                <w:szCs w:val="21"/>
              </w:rPr>
              <w:t>5</w:t>
            </w:r>
          </w:p>
        </w:tc>
        <w:tc>
          <w:tcPr>
            <w:tcW w:w="1088" w:type="dxa"/>
            <w:tcBorders>
              <w:top w:val="single" w:color="auto" w:sz="8" w:space="0"/>
              <w:left w:val="single" w:color="auto" w:sz="8" w:space="0"/>
              <w:bottom w:val="single" w:color="auto" w:sz="8" w:space="0"/>
              <w:right w:val="single" w:color="auto" w:sz="8" w:space="0"/>
            </w:tcBorders>
            <w:vAlign w:val="center"/>
          </w:tcPr>
          <w:p w14:paraId="3FB845A3">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发明专利</w:t>
            </w:r>
          </w:p>
        </w:tc>
        <w:tc>
          <w:tcPr>
            <w:tcW w:w="1276" w:type="dxa"/>
            <w:tcBorders>
              <w:top w:val="single" w:color="auto" w:sz="8" w:space="0"/>
              <w:left w:val="single" w:color="auto" w:sz="8" w:space="0"/>
              <w:bottom w:val="single" w:color="auto" w:sz="8" w:space="0"/>
              <w:right w:val="single" w:color="auto" w:sz="8" w:space="0"/>
            </w:tcBorders>
            <w:vAlign w:val="center"/>
          </w:tcPr>
          <w:p w14:paraId="359BDE50">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小麦WRKY转录因子基因TaWRKY40及其应用</w:t>
            </w:r>
          </w:p>
        </w:tc>
        <w:tc>
          <w:tcPr>
            <w:tcW w:w="1134" w:type="dxa"/>
            <w:tcBorders>
              <w:top w:val="single" w:color="auto" w:sz="8" w:space="0"/>
              <w:left w:val="single" w:color="auto" w:sz="8" w:space="0"/>
              <w:bottom w:val="single" w:color="auto" w:sz="8" w:space="0"/>
              <w:right w:val="single" w:color="auto" w:sz="8" w:space="0"/>
            </w:tcBorders>
            <w:vAlign w:val="center"/>
          </w:tcPr>
          <w:p w14:paraId="4F4F9070">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中国</w:t>
            </w:r>
          </w:p>
        </w:tc>
        <w:tc>
          <w:tcPr>
            <w:tcW w:w="852" w:type="dxa"/>
            <w:tcBorders>
              <w:top w:val="single" w:color="auto" w:sz="8" w:space="0"/>
              <w:left w:val="single" w:color="auto" w:sz="8" w:space="0"/>
              <w:bottom w:val="single" w:color="auto" w:sz="8" w:space="0"/>
              <w:right w:val="single" w:color="auto" w:sz="8" w:space="0"/>
            </w:tcBorders>
            <w:vAlign w:val="center"/>
          </w:tcPr>
          <w:p w14:paraId="25BCAFA2">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ZL202310533054.3</w:t>
            </w:r>
          </w:p>
        </w:tc>
        <w:tc>
          <w:tcPr>
            <w:tcW w:w="1134" w:type="dxa"/>
            <w:tcBorders>
              <w:top w:val="single" w:color="auto" w:sz="8" w:space="0"/>
              <w:left w:val="single" w:color="auto" w:sz="8" w:space="0"/>
              <w:bottom w:val="single" w:color="auto" w:sz="8" w:space="0"/>
              <w:right w:val="single" w:color="auto" w:sz="8" w:space="0"/>
            </w:tcBorders>
            <w:vAlign w:val="center"/>
          </w:tcPr>
          <w:p w14:paraId="746DA202">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2023年07月11日</w:t>
            </w:r>
          </w:p>
        </w:tc>
        <w:tc>
          <w:tcPr>
            <w:tcW w:w="1014" w:type="dxa"/>
            <w:tcBorders>
              <w:top w:val="single" w:color="auto" w:sz="8" w:space="0"/>
              <w:left w:val="single" w:color="auto" w:sz="8" w:space="0"/>
              <w:bottom w:val="single" w:color="auto" w:sz="8" w:space="0"/>
              <w:right w:val="single" w:color="auto" w:sz="8" w:space="0"/>
            </w:tcBorders>
            <w:vAlign w:val="center"/>
          </w:tcPr>
          <w:p w14:paraId="28CB06BA">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6132590</w:t>
            </w:r>
          </w:p>
        </w:tc>
        <w:tc>
          <w:tcPr>
            <w:tcW w:w="970" w:type="dxa"/>
            <w:tcBorders>
              <w:top w:val="single" w:color="auto" w:sz="8" w:space="0"/>
              <w:left w:val="single" w:color="auto" w:sz="8" w:space="0"/>
              <w:bottom w:val="single" w:color="auto" w:sz="8" w:space="0"/>
              <w:right w:val="single" w:color="auto" w:sz="8" w:space="0"/>
            </w:tcBorders>
            <w:vAlign w:val="center"/>
          </w:tcPr>
          <w:p w14:paraId="1E3B727D">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西北农林科技大学深圳研究院</w:t>
            </w:r>
          </w:p>
        </w:tc>
        <w:tc>
          <w:tcPr>
            <w:tcW w:w="898" w:type="dxa"/>
            <w:tcBorders>
              <w:top w:val="single" w:color="auto" w:sz="8" w:space="0"/>
              <w:left w:val="single" w:color="auto" w:sz="8" w:space="0"/>
              <w:bottom w:val="single" w:color="auto" w:sz="8" w:space="0"/>
              <w:right w:val="single" w:color="auto" w:sz="8" w:space="0"/>
            </w:tcBorders>
            <w:vAlign w:val="center"/>
          </w:tcPr>
          <w:p w14:paraId="670E57E6">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王建锋</w:t>
            </w:r>
            <w:r>
              <w:rPr>
                <w:rFonts w:hint="eastAsia" w:eastAsiaTheme="minorEastAsia"/>
                <w:kern w:val="0"/>
                <w:szCs w:val="21"/>
              </w:rPr>
              <w:t>，</w:t>
            </w:r>
            <w:r>
              <w:rPr>
                <w:rFonts w:eastAsiaTheme="minorEastAsia"/>
                <w:kern w:val="0"/>
                <w:szCs w:val="21"/>
              </w:rPr>
              <w:t>王晓杰</w:t>
            </w:r>
            <w:r>
              <w:rPr>
                <w:rFonts w:hint="eastAsia" w:eastAsiaTheme="minorEastAsia"/>
                <w:kern w:val="0"/>
                <w:szCs w:val="21"/>
              </w:rPr>
              <w:t>，</w:t>
            </w:r>
            <w:r>
              <w:rPr>
                <w:rFonts w:eastAsiaTheme="minorEastAsia"/>
                <w:kern w:val="0"/>
                <w:szCs w:val="21"/>
              </w:rPr>
              <w:t>康振生</w:t>
            </w:r>
            <w:r>
              <w:rPr>
                <w:rFonts w:hint="eastAsia" w:eastAsiaTheme="minorEastAsia"/>
                <w:kern w:val="0"/>
                <w:szCs w:val="21"/>
              </w:rPr>
              <w:t>，</w:t>
            </w:r>
            <w:r>
              <w:rPr>
                <w:rFonts w:eastAsiaTheme="minorEastAsia"/>
                <w:kern w:val="0"/>
                <w:szCs w:val="21"/>
              </w:rPr>
              <w:t>汤春蕾</w:t>
            </w:r>
            <w:r>
              <w:rPr>
                <w:rFonts w:hint="eastAsia" w:eastAsiaTheme="minorEastAsia"/>
                <w:kern w:val="0"/>
                <w:szCs w:val="21"/>
              </w:rPr>
              <w:t>，</w:t>
            </w:r>
            <w:r>
              <w:rPr>
                <w:rFonts w:eastAsiaTheme="minorEastAsia"/>
                <w:kern w:val="0"/>
                <w:szCs w:val="21"/>
              </w:rPr>
              <w:t>王宁</w:t>
            </w:r>
            <w:r>
              <w:rPr>
                <w:rFonts w:hint="eastAsia" w:eastAsiaTheme="minorEastAsia"/>
                <w:kern w:val="0"/>
                <w:szCs w:val="21"/>
              </w:rPr>
              <w:t>，</w:t>
            </w:r>
            <w:r>
              <w:rPr>
                <w:rFonts w:eastAsiaTheme="minorEastAsia"/>
                <w:kern w:val="0"/>
                <w:szCs w:val="21"/>
              </w:rPr>
              <w:t>何佳妮</w:t>
            </w:r>
          </w:p>
        </w:tc>
      </w:tr>
      <w:tr w14:paraId="599AF7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580" w:type="dxa"/>
            <w:tcBorders>
              <w:top w:val="single" w:color="auto" w:sz="8" w:space="0"/>
              <w:left w:val="single" w:color="auto" w:sz="8" w:space="0"/>
              <w:bottom w:val="single" w:color="auto" w:sz="8" w:space="0"/>
              <w:right w:val="single" w:color="auto" w:sz="8" w:space="0"/>
            </w:tcBorders>
            <w:vAlign w:val="center"/>
          </w:tcPr>
          <w:p w14:paraId="02657995">
            <w:pPr>
              <w:keepNext w:val="0"/>
              <w:keepLines w:val="0"/>
              <w:pageBreakBefore w:val="0"/>
              <w:widowControl w:val="0"/>
              <w:kinsoku/>
              <w:wordWrap/>
              <w:overflowPunct/>
              <w:topLinePunct w:val="0"/>
              <w:bidi w:val="0"/>
              <w:snapToGrid/>
              <w:spacing w:line="320" w:lineRule="exact"/>
              <w:jc w:val="center"/>
              <w:textAlignment w:val="auto"/>
              <w:rPr>
                <w:rFonts w:eastAsiaTheme="minorEastAsia"/>
                <w:szCs w:val="21"/>
              </w:rPr>
            </w:pPr>
            <w:r>
              <w:rPr>
                <w:rFonts w:hint="eastAsia" w:eastAsiaTheme="minorEastAsia"/>
                <w:szCs w:val="21"/>
              </w:rPr>
              <w:t>6</w:t>
            </w:r>
          </w:p>
        </w:tc>
        <w:tc>
          <w:tcPr>
            <w:tcW w:w="1088" w:type="dxa"/>
            <w:tcBorders>
              <w:top w:val="single" w:color="auto" w:sz="8" w:space="0"/>
              <w:left w:val="single" w:color="auto" w:sz="8" w:space="0"/>
              <w:bottom w:val="single" w:color="auto" w:sz="8" w:space="0"/>
              <w:right w:val="single" w:color="auto" w:sz="8" w:space="0"/>
            </w:tcBorders>
            <w:vAlign w:val="center"/>
          </w:tcPr>
          <w:p w14:paraId="7413050A">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发明专利</w:t>
            </w:r>
          </w:p>
        </w:tc>
        <w:tc>
          <w:tcPr>
            <w:tcW w:w="1276" w:type="dxa"/>
            <w:tcBorders>
              <w:top w:val="single" w:color="auto" w:sz="8" w:space="0"/>
              <w:left w:val="single" w:color="auto" w:sz="8" w:space="0"/>
              <w:bottom w:val="single" w:color="auto" w:sz="8" w:space="0"/>
              <w:right w:val="single" w:color="auto" w:sz="8" w:space="0"/>
            </w:tcBorders>
            <w:vAlign w:val="center"/>
          </w:tcPr>
          <w:p w14:paraId="7CC53B4D">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小麦翻译起始因子TaeIF4A及其应用</w:t>
            </w:r>
          </w:p>
        </w:tc>
        <w:tc>
          <w:tcPr>
            <w:tcW w:w="1134" w:type="dxa"/>
            <w:tcBorders>
              <w:top w:val="single" w:color="auto" w:sz="8" w:space="0"/>
              <w:left w:val="single" w:color="auto" w:sz="8" w:space="0"/>
              <w:bottom w:val="single" w:color="auto" w:sz="8" w:space="0"/>
              <w:right w:val="single" w:color="auto" w:sz="8" w:space="0"/>
            </w:tcBorders>
            <w:vAlign w:val="center"/>
          </w:tcPr>
          <w:p w14:paraId="5E46739C">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中国</w:t>
            </w:r>
          </w:p>
        </w:tc>
        <w:tc>
          <w:tcPr>
            <w:tcW w:w="852" w:type="dxa"/>
            <w:tcBorders>
              <w:top w:val="single" w:color="auto" w:sz="8" w:space="0"/>
              <w:left w:val="single" w:color="auto" w:sz="8" w:space="0"/>
              <w:bottom w:val="single" w:color="auto" w:sz="8" w:space="0"/>
              <w:right w:val="single" w:color="auto" w:sz="8" w:space="0"/>
            </w:tcBorders>
            <w:vAlign w:val="center"/>
          </w:tcPr>
          <w:p w14:paraId="775D168D">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ZL202310604788.6</w:t>
            </w:r>
          </w:p>
        </w:tc>
        <w:tc>
          <w:tcPr>
            <w:tcW w:w="1134" w:type="dxa"/>
            <w:tcBorders>
              <w:top w:val="single" w:color="auto" w:sz="8" w:space="0"/>
              <w:left w:val="single" w:color="auto" w:sz="8" w:space="0"/>
              <w:bottom w:val="single" w:color="auto" w:sz="8" w:space="0"/>
              <w:right w:val="single" w:color="auto" w:sz="8" w:space="0"/>
            </w:tcBorders>
            <w:vAlign w:val="center"/>
          </w:tcPr>
          <w:p w14:paraId="06001A43">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2023年08月15日</w:t>
            </w:r>
          </w:p>
        </w:tc>
        <w:tc>
          <w:tcPr>
            <w:tcW w:w="1014" w:type="dxa"/>
            <w:tcBorders>
              <w:top w:val="single" w:color="auto" w:sz="8" w:space="0"/>
              <w:left w:val="single" w:color="auto" w:sz="8" w:space="0"/>
              <w:bottom w:val="single" w:color="auto" w:sz="8" w:space="0"/>
              <w:right w:val="single" w:color="auto" w:sz="8" w:space="0"/>
            </w:tcBorders>
            <w:vAlign w:val="center"/>
          </w:tcPr>
          <w:p w14:paraId="343FAA17">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6238829</w:t>
            </w:r>
          </w:p>
        </w:tc>
        <w:tc>
          <w:tcPr>
            <w:tcW w:w="970" w:type="dxa"/>
            <w:tcBorders>
              <w:top w:val="single" w:color="auto" w:sz="8" w:space="0"/>
              <w:left w:val="single" w:color="auto" w:sz="8" w:space="0"/>
              <w:bottom w:val="single" w:color="auto" w:sz="8" w:space="0"/>
              <w:right w:val="single" w:color="auto" w:sz="8" w:space="0"/>
            </w:tcBorders>
            <w:vAlign w:val="center"/>
          </w:tcPr>
          <w:p w14:paraId="67AEA1CD">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西北农林科技大学深圳研究院</w:t>
            </w:r>
          </w:p>
        </w:tc>
        <w:tc>
          <w:tcPr>
            <w:tcW w:w="898" w:type="dxa"/>
            <w:tcBorders>
              <w:top w:val="single" w:color="auto" w:sz="8" w:space="0"/>
              <w:left w:val="single" w:color="auto" w:sz="8" w:space="0"/>
              <w:bottom w:val="single" w:color="auto" w:sz="8" w:space="0"/>
              <w:right w:val="single" w:color="auto" w:sz="8" w:space="0"/>
            </w:tcBorders>
            <w:vAlign w:val="center"/>
          </w:tcPr>
          <w:p w14:paraId="052EEEA2">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王宁</w:t>
            </w:r>
            <w:r>
              <w:rPr>
                <w:rFonts w:hint="eastAsia" w:eastAsiaTheme="minorEastAsia"/>
                <w:kern w:val="0"/>
                <w:szCs w:val="21"/>
              </w:rPr>
              <w:t>，</w:t>
            </w:r>
            <w:r>
              <w:rPr>
                <w:rFonts w:eastAsiaTheme="minorEastAsia"/>
                <w:kern w:val="0"/>
                <w:szCs w:val="21"/>
              </w:rPr>
              <w:t>康振生</w:t>
            </w:r>
            <w:r>
              <w:rPr>
                <w:rFonts w:hint="eastAsia" w:eastAsiaTheme="minorEastAsia"/>
                <w:kern w:val="0"/>
                <w:szCs w:val="21"/>
              </w:rPr>
              <w:t>，</w:t>
            </w:r>
            <w:r>
              <w:rPr>
                <w:rFonts w:eastAsiaTheme="minorEastAsia"/>
                <w:kern w:val="0"/>
                <w:szCs w:val="21"/>
              </w:rPr>
              <w:t>王晓杰</w:t>
            </w:r>
            <w:r>
              <w:rPr>
                <w:rFonts w:hint="eastAsia" w:eastAsiaTheme="minorEastAsia"/>
                <w:kern w:val="0"/>
                <w:szCs w:val="21"/>
              </w:rPr>
              <w:t>，</w:t>
            </w:r>
            <w:r>
              <w:rPr>
                <w:rFonts w:eastAsiaTheme="minorEastAsia"/>
                <w:kern w:val="0"/>
                <w:szCs w:val="21"/>
              </w:rPr>
              <w:t>王建锋</w:t>
            </w:r>
            <w:r>
              <w:rPr>
                <w:rFonts w:hint="eastAsia" w:eastAsiaTheme="minorEastAsia"/>
                <w:kern w:val="0"/>
                <w:szCs w:val="21"/>
              </w:rPr>
              <w:t>，</w:t>
            </w:r>
            <w:r>
              <w:rPr>
                <w:rFonts w:eastAsiaTheme="minorEastAsia"/>
                <w:kern w:val="0"/>
                <w:szCs w:val="21"/>
              </w:rPr>
              <w:t>汤春蕾</w:t>
            </w:r>
            <w:r>
              <w:rPr>
                <w:rFonts w:hint="eastAsia" w:eastAsiaTheme="minorEastAsia"/>
                <w:kern w:val="0"/>
                <w:szCs w:val="21"/>
              </w:rPr>
              <w:t>，</w:t>
            </w:r>
            <w:r>
              <w:rPr>
                <w:rFonts w:eastAsiaTheme="minorEastAsia"/>
                <w:kern w:val="0"/>
                <w:szCs w:val="21"/>
              </w:rPr>
              <w:t>何梦颖</w:t>
            </w:r>
          </w:p>
        </w:tc>
      </w:tr>
      <w:tr w14:paraId="2D25E5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580" w:type="dxa"/>
            <w:tcBorders>
              <w:top w:val="single" w:color="auto" w:sz="8" w:space="0"/>
              <w:left w:val="single" w:color="auto" w:sz="8" w:space="0"/>
              <w:bottom w:val="single" w:color="auto" w:sz="8" w:space="0"/>
              <w:right w:val="single" w:color="auto" w:sz="8" w:space="0"/>
            </w:tcBorders>
            <w:vAlign w:val="center"/>
          </w:tcPr>
          <w:p w14:paraId="2D7AFA83">
            <w:pPr>
              <w:keepNext w:val="0"/>
              <w:keepLines w:val="0"/>
              <w:pageBreakBefore w:val="0"/>
              <w:widowControl w:val="0"/>
              <w:kinsoku/>
              <w:wordWrap/>
              <w:overflowPunct/>
              <w:topLinePunct w:val="0"/>
              <w:bidi w:val="0"/>
              <w:snapToGrid/>
              <w:spacing w:line="320" w:lineRule="exact"/>
              <w:jc w:val="center"/>
              <w:textAlignment w:val="auto"/>
              <w:rPr>
                <w:rFonts w:eastAsiaTheme="minorEastAsia"/>
                <w:szCs w:val="21"/>
              </w:rPr>
            </w:pPr>
            <w:r>
              <w:rPr>
                <w:rFonts w:hint="eastAsia" w:eastAsiaTheme="minorEastAsia"/>
                <w:szCs w:val="21"/>
              </w:rPr>
              <w:t>7</w:t>
            </w:r>
          </w:p>
        </w:tc>
        <w:tc>
          <w:tcPr>
            <w:tcW w:w="1088" w:type="dxa"/>
            <w:tcBorders>
              <w:top w:val="single" w:color="auto" w:sz="8" w:space="0"/>
              <w:left w:val="single" w:color="auto" w:sz="8" w:space="0"/>
              <w:bottom w:val="single" w:color="auto" w:sz="8" w:space="0"/>
              <w:right w:val="single" w:color="auto" w:sz="8" w:space="0"/>
            </w:tcBorders>
            <w:vAlign w:val="center"/>
          </w:tcPr>
          <w:p w14:paraId="39A290B8">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发明专利</w:t>
            </w:r>
          </w:p>
        </w:tc>
        <w:tc>
          <w:tcPr>
            <w:tcW w:w="1276" w:type="dxa"/>
            <w:tcBorders>
              <w:top w:val="single" w:color="auto" w:sz="8" w:space="0"/>
              <w:left w:val="single" w:color="auto" w:sz="8" w:space="0"/>
              <w:bottom w:val="single" w:color="auto" w:sz="8" w:space="0"/>
              <w:right w:val="single" w:color="auto" w:sz="8" w:space="0"/>
            </w:tcBorders>
            <w:vAlign w:val="center"/>
          </w:tcPr>
          <w:p w14:paraId="29542F41">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含有铁硫蔟的效应蛋白PST-8853及其应用</w:t>
            </w:r>
          </w:p>
        </w:tc>
        <w:tc>
          <w:tcPr>
            <w:tcW w:w="1134" w:type="dxa"/>
            <w:tcBorders>
              <w:top w:val="single" w:color="auto" w:sz="8" w:space="0"/>
              <w:left w:val="single" w:color="auto" w:sz="8" w:space="0"/>
              <w:bottom w:val="single" w:color="auto" w:sz="8" w:space="0"/>
              <w:right w:val="single" w:color="auto" w:sz="8" w:space="0"/>
            </w:tcBorders>
            <w:vAlign w:val="center"/>
          </w:tcPr>
          <w:p w14:paraId="49F9DAFC">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中国</w:t>
            </w:r>
          </w:p>
        </w:tc>
        <w:tc>
          <w:tcPr>
            <w:tcW w:w="852" w:type="dxa"/>
            <w:tcBorders>
              <w:top w:val="single" w:color="auto" w:sz="8" w:space="0"/>
              <w:left w:val="single" w:color="auto" w:sz="8" w:space="0"/>
              <w:bottom w:val="single" w:color="auto" w:sz="8" w:space="0"/>
              <w:right w:val="single" w:color="auto" w:sz="8" w:space="0"/>
            </w:tcBorders>
            <w:vAlign w:val="center"/>
          </w:tcPr>
          <w:p w14:paraId="585DD651">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ZL202310569122.1</w:t>
            </w:r>
          </w:p>
        </w:tc>
        <w:tc>
          <w:tcPr>
            <w:tcW w:w="1134" w:type="dxa"/>
            <w:tcBorders>
              <w:top w:val="single" w:color="auto" w:sz="8" w:space="0"/>
              <w:left w:val="single" w:color="auto" w:sz="8" w:space="0"/>
              <w:bottom w:val="single" w:color="auto" w:sz="8" w:space="0"/>
              <w:right w:val="single" w:color="auto" w:sz="8" w:space="0"/>
            </w:tcBorders>
            <w:vAlign w:val="center"/>
          </w:tcPr>
          <w:p w14:paraId="551A3487">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2023年08月25日</w:t>
            </w:r>
          </w:p>
        </w:tc>
        <w:tc>
          <w:tcPr>
            <w:tcW w:w="1014" w:type="dxa"/>
            <w:tcBorders>
              <w:top w:val="single" w:color="auto" w:sz="8" w:space="0"/>
              <w:left w:val="single" w:color="auto" w:sz="8" w:space="0"/>
              <w:bottom w:val="single" w:color="auto" w:sz="8" w:space="0"/>
              <w:right w:val="single" w:color="auto" w:sz="8" w:space="0"/>
            </w:tcBorders>
            <w:vAlign w:val="center"/>
          </w:tcPr>
          <w:p w14:paraId="0DE60212">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6272661</w:t>
            </w:r>
          </w:p>
        </w:tc>
        <w:tc>
          <w:tcPr>
            <w:tcW w:w="970" w:type="dxa"/>
            <w:tcBorders>
              <w:top w:val="single" w:color="auto" w:sz="8" w:space="0"/>
              <w:left w:val="single" w:color="auto" w:sz="8" w:space="0"/>
              <w:bottom w:val="single" w:color="auto" w:sz="8" w:space="0"/>
              <w:right w:val="single" w:color="auto" w:sz="8" w:space="0"/>
            </w:tcBorders>
            <w:vAlign w:val="center"/>
          </w:tcPr>
          <w:p w14:paraId="53C0670D">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西北农林科技大学深圳研究院</w:t>
            </w:r>
          </w:p>
        </w:tc>
        <w:tc>
          <w:tcPr>
            <w:tcW w:w="898" w:type="dxa"/>
            <w:tcBorders>
              <w:top w:val="single" w:color="auto" w:sz="8" w:space="0"/>
              <w:left w:val="single" w:color="auto" w:sz="8" w:space="0"/>
              <w:bottom w:val="single" w:color="auto" w:sz="8" w:space="0"/>
              <w:right w:val="single" w:color="auto" w:sz="8" w:space="0"/>
            </w:tcBorders>
            <w:vAlign w:val="center"/>
          </w:tcPr>
          <w:p w14:paraId="17997CC5">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汤春蕾</w:t>
            </w:r>
            <w:r>
              <w:rPr>
                <w:rFonts w:hint="eastAsia" w:eastAsiaTheme="minorEastAsia"/>
                <w:kern w:val="0"/>
                <w:szCs w:val="21"/>
              </w:rPr>
              <w:t>，</w:t>
            </w:r>
            <w:r>
              <w:rPr>
                <w:rFonts w:eastAsiaTheme="minorEastAsia"/>
                <w:kern w:val="0"/>
                <w:szCs w:val="21"/>
              </w:rPr>
              <w:t>王晓杰</w:t>
            </w:r>
            <w:r>
              <w:rPr>
                <w:rFonts w:hint="eastAsia" w:eastAsiaTheme="minorEastAsia"/>
                <w:kern w:val="0"/>
                <w:szCs w:val="21"/>
              </w:rPr>
              <w:t>，</w:t>
            </w:r>
            <w:r>
              <w:rPr>
                <w:rFonts w:eastAsiaTheme="minorEastAsia"/>
                <w:kern w:val="0"/>
                <w:szCs w:val="21"/>
              </w:rPr>
              <w:t>康振生</w:t>
            </w:r>
            <w:r>
              <w:rPr>
                <w:rFonts w:hint="eastAsia" w:eastAsiaTheme="minorEastAsia"/>
                <w:kern w:val="0"/>
                <w:szCs w:val="21"/>
              </w:rPr>
              <w:t>，</w:t>
            </w:r>
            <w:r>
              <w:rPr>
                <w:rFonts w:eastAsiaTheme="minorEastAsia"/>
                <w:kern w:val="0"/>
                <w:szCs w:val="21"/>
              </w:rPr>
              <w:t>王建锋</w:t>
            </w:r>
            <w:r>
              <w:rPr>
                <w:rFonts w:hint="eastAsia" w:eastAsiaTheme="minorEastAsia"/>
                <w:kern w:val="0"/>
                <w:szCs w:val="21"/>
              </w:rPr>
              <w:t>，</w:t>
            </w:r>
            <w:r>
              <w:rPr>
                <w:rFonts w:eastAsiaTheme="minorEastAsia"/>
                <w:kern w:val="0"/>
                <w:szCs w:val="21"/>
              </w:rPr>
              <w:t>王宁</w:t>
            </w:r>
            <w:r>
              <w:rPr>
                <w:rFonts w:hint="eastAsia" w:eastAsiaTheme="minorEastAsia"/>
                <w:kern w:val="0"/>
                <w:szCs w:val="21"/>
              </w:rPr>
              <w:t>，</w:t>
            </w:r>
            <w:r>
              <w:rPr>
                <w:rFonts w:eastAsiaTheme="minorEastAsia"/>
                <w:kern w:val="0"/>
                <w:szCs w:val="21"/>
              </w:rPr>
              <w:t>赵海斌</w:t>
            </w:r>
          </w:p>
        </w:tc>
      </w:tr>
      <w:tr w14:paraId="202A3D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580" w:type="dxa"/>
            <w:tcBorders>
              <w:top w:val="single" w:color="auto" w:sz="8" w:space="0"/>
              <w:left w:val="single" w:color="auto" w:sz="8" w:space="0"/>
              <w:bottom w:val="single" w:color="auto" w:sz="8" w:space="0"/>
              <w:right w:val="single" w:color="auto" w:sz="8" w:space="0"/>
            </w:tcBorders>
            <w:vAlign w:val="center"/>
          </w:tcPr>
          <w:p w14:paraId="46AE2AB4">
            <w:pPr>
              <w:keepNext w:val="0"/>
              <w:keepLines w:val="0"/>
              <w:pageBreakBefore w:val="0"/>
              <w:widowControl w:val="0"/>
              <w:kinsoku/>
              <w:wordWrap/>
              <w:overflowPunct/>
              <w:topLinePunct w:val="0"/>
              <w:bidi w:val="0"/>
              <w:snapToGrid/>
              <w:spacing w:line="320" w:lineRule="exact"/>
              <w:jc w:val="center"/>
              <w:textAlignment w:val="auto"/>
              <w:rPr>
                <w:rFonts w:eastAsiaTheme="minorEastAsia"/>
                <w:szCs w:val="21"/>
              </w:rPr>
            </w:pPr>
            <w:r>
              <w:rPr>
                <w:rFonts w:hint="eastAsia" w:eastAsiaTheme="minorEastAsia"/>
                <w:szCs w:val="21"/>
              </w:rPr>
              <w:t>8</w:t>
            </w:r>
          </w:p>
        </w:tc>
        <w:tc>
          <w:tcPr>
            <w:tcW w:w="1088" w:type="dxa"/>
            <w:tcBorders>
              <w:top w:val="single" w:color="auto" w:sz="8" w:space="0"/>
              <w:left w:val="single" w:color="auto" w:sz="8" w:space="0"/>
              <w:bottom w:val="single" w:color="auto" w:sz="8" w:space="0"/>
              <w:right w:val="single" w:color="auto" w:sz="8" w:space="0"/>
            </w:tcBorders>
            <w:vAlign w:val="center"/>
          </w:tcPr>
          <w:p w14:paraId="0D1F8A9C">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发明专利</w:t>
            </w:r>
          </w:p>
        </w:tc>
        <w:tc>
          <w:tcPr>
            <w:tcW w:w="1276" w:type="dxa"/>
            <w:tcBorders>
              <w:top w:val="single" w:color="auto" w:sz="8" w:space="0"/>
              <w:left w:val="single" w:color="auto" w:sz="8" w:space="0"/>
              <w:bottom w:val="single" w:color="auto" w:sz="8" w:space="0"/>
              <w:right w:val="single" w:color="auto" w:sz="8" w:space="0"/>
            </w:tcBorders>
            <w:vAlign w:val="center"/>
          </w:tcPr>
          <w:p w14:paraId="1BFE9068">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eastAsiaTheme="minorEastAsia"/>
                <w:szCs w:val="21"/>
              </w:rPr>
            </w:pPr>
            <w:r>
              <w:rPr>
                <w:rFonts w:eastAsiaTheme="minorEastAsia"/>
                <w:kern w:val="0"/>
                <w:szCs w:val="21"/>
              </w:rPr>
              <w:t>毒性效应蛋白及其在小麦抗病育种中的应用</w:t>
            </w:r>
          </w:p>
        </w:tc>
        <w:tc>
          <w:tcPr>
            <w:tcW w:w="1134" w:type="dxa"/>
            <w:tcBorders>
              <w:top w:val="single" w:color="auto" w:sz="8" w:space="0"/>
              <w:left w:val="single" w:color="auto" w:sz="8" w:space="0"/>
              <w:bottom w:val="single" w:color="auto" w:sz="8" w:space="0"/>
              <w:right w:val="single" w:color="auto" w:sz="8" w:space="0"/>
            </w:tcBorders>
            <w:vAlign w:val="center"/>
          </w:tcPr>
          <w:p w14:paraId="50D392BE">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中国</w:t>
            </w:r>
          </w:p>
        </w:tc>
        <w:tc>
          <w:tcPr>
            <w:tcW w:w="852" w:type="dxa"/>
            <w:tcBorders>
              <w:top w:val="single" w:color="auto" w:sz="8" w:space="0"/>
              <w:left w:val="single" w:color="auto" w:sz="8" w:space="0"/>
              <w:bottom w:val="single" w:color="auto" w:sz="8" w:space="0"/>
              <w:right w:val="single" w:color="auto" w:sz="8" w:space="0"/>
            </w:tcBorders>
            <w:vAlign w:val="center"/>
          </w:tcPr>
          <w:p w14:paraId="7C29A71A">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ZL202310653580.3</w:t>
            </w:r>
          </w:p>
        </w:tc>
        <w:tc>
          <w:tcPr>
            <w:tcW w:w="1134" w:type="dxa"/>
            <w:tcBorders>
              <w:top w:val="single" w:color="auto" w:sz="8" w:space="0"/>
              <w:left w:val="single" w:color="auto" w:sz="8" w:space="0"/>
              <w:bottom w:val="single" w:color="auto" w:sz="8" w:space="0"/>
              <w:right w:val="single" w:color="auto" w:sz="8" w:space="0"/>
            </w:tcBorders>
            <w:vAlign w:val="center"/>
          </w:tcPr>
          <w:p w14:paraId="416B837C">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2023年09月05日</w:t>
            </w:r>
          </w:p>
        </w:tc>
        <w:tc>
          <w:tcPr>
            <w:tcW w:w="1014" w:type="dxa"/>
            <w:tcBorders>
              <w:top w:val="single" w:color="auto" w:sz="8" w:space="0"/>
              <w:left w:val="single" w:color="auto" w:sz="8" w:space="0"/>
              <w:bottom w:val="single" w:color="auto" w:sz="8" w:space="0"/>
              <w:right w:val="single" w:color="auto" w:sz="8" w:space="0"/>
            </w:tcBorders>
            <w:vAlign w:val="center"/>
          </w:tcPr>
          <w:p w14:paraId="70E2C532">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6298526</w:t>
            </w:r>
          </w:p>
        </w:tc>
        <w:tc>
          <w:tcPr>
            <w:tcW w:w="970" w:type="dxa"/>
            <w:tcBorders>
              <w:top w:val="single" w:color="auto" w:sz="8" w:space="0"/>
              <w:left w:val="single" w:color="auto" w:sz="8" w:space="0"/>
              <w:bottom w:val="single" w:color="auto" w:sz="8" w:space="0"/>
              <w:right w:val="single" w:color="auto" w:sz="8" w:space="0"/>
            </w:tcBorders>
            <w:vAlign w:val="center"/>
          </w:tcPr>
          <w:p w14:paraId="690391F6">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西北农林科技大学深圳研究院</w:t>
            </w:r>
          </w:p>
        </w:tc>
        <w:tc>
          <w:tcPr>
            <w:tcW w:w="898" w:type="dxa"/>
            <w:tcBorders>
              <w:top w:val="single" w:color="auto" w:sz="8" w:space="0"/>
              <w:left w:val="single" w:color="auto" w:sz="8" w:space="0"/>
              <w:bottom w:val="single" w:color="auto" w:sz="8" w:space="0"/>
              <w:right w:val="single" w:color="auto" w:sz="8" w:space="0"/>
            </w:tcBorders>
            <w:vAlign w:val="center"/>
          </w:tcPr>
          <w:p w14:paraId="7EA49C76">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汤春蕾</w:t>
            </w:r>
            <w:r>
              <w:rPr>
                <w:rFonts w:hint="eastAsia" w:eastAsiaTheme="minorEastAsia"/>
                <w:kern w:val="0"/>
                <w:szCs w:val="21"/>
              </w:rPr>
              <w:t>，</w:t>
            </w:r>
            <w:r>
              <w:rPr>
                <w:rFonts w:eastAsiaTheme="minorEastAsia"/>
                <w:kern w:val="0"/>
                <w:szCs w:val="21"/>
              </w:rPr>
              <w:t>王晓杰</w:t>
            </w:r>
            <w:r>
              <w:rPr>
                <w:rFonts w:hint="eastAsia" w:eastAsiaTheme="minorEastAsia"/>
                <w:kern w:val="0"/>
                <w:szCs w:val="21"/>
              </w:rPr>
              <w:t>，</w:t>
            </w:r>
            <w:r>
              <w:rPr>
                <w:rFonts w:eastAsiaTheme="minorEastAsia"/>
                <w:kern w:val="0"/>
                <w:szCs w:val="21"/>
              </w:rPr>
              <w:t>王建锋</w:t>
            </w:r>
            <w:r>
              <w:rPr>
                <w:rFonts w:hint="eastAsia" w:eastAsiaTheme="minorEastAsia"/>
                <w:kern w:val="0"/>
                <w:szCs w:val="21"/>
              </w:rPr>
              <w:t>，</w:t>
            </w:r>
            <w:r>
              <w:rPr>
                <w:rFonts w:eastAsiaTheme="minorEastAsia"/>
                <w:kern w:val="0"/>
                <w:szCs w:val="21"/>
              </w:rPr>
              <w:t>康振生</w:t>
            </w:r>
            <w:r>
              <w:rPr>
                <w:rFonts w:hint="eastAsia" w:eastAsiaTheme="minorEastAsia"/>
                <w:kern w:val="0"/>
                <w:szCs w:val="21"/>
              </w:rPr>
              <w:t>，</w:t>
            </w:r>
            <w:r>
              <w:rPr>
                <w:rFonts w:eastAsiaTheme="minorEastAsia"/>
                <w:kern w:val="0"/>
                <w:szCs w:val="21"/>
              </w:rPr>
              <w:t>於立刚</w:t>
            </w:r>
          </w:p>
        </w:tc>
      </w:tr>
      <w:tr w14:paraId="6523BD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580" w:type="dxa"/>
            <w:tcBorders>
              <w:top w:val="single" w:color="auto" w:sz="8" w:space="0"/>
              <w:left w:val="single" w:color="auto" w:sz="8" w:space="0"/>
              <w:bottom w:val="single" w:color="auto" w:sz="8" w:space="0"/>
              <w:right w:val="single" w:color="auto" w:sz="8" w:space="0"/>
            </w:tcBorders>
            <w:vAlign w:val="center"/>
          </w:tcPr>
          <w:p w14:paraId="000CE794">
            <w:pPr>
              <w:keepNext w:val="0"/>
              <w:keepLines w:val="0"/>
              <w:pageBreakBefore w:val="0"/>
              <w:widowControl w:val="0"/>
              <w:kinsoku/>
              <w:wordWrap/>
              <w:overflowPunct/>
              <w:topLinePunct w:val="0"/>
              <w:bidi w:val="0"/>
              <w:snapToGrid/>
              <w:spacing w:line="320" w:lineRule="exact"/>
              <w:jc w:val="center"/>
              <w:textAlignment w:val="auto"/>
              <w:rPr>
                <w:rFonts w:eastAsiaTheme="minorEastAsia"/>
                <w:szCs w:val="21"/>
              </w:rPr>
            </w:pPr>
            <w:r>
              <w:rPr>
                <w:rFonts w:hint="eastAsia" w:eastAsiaTheme="minorEastAsia"/>
                <w:szCs w:val="21"/>
              </w:rPr>
              <w:t>9</w:t>
            </w:r>
          </w:p>
        </w:tc>
        <w:tc>
          <w:tcPr>
            <w:tcW w:w="1088" w:type="dxa"/>
            <w:tcBorders>
              <w:top w:val="single" w:color="auto" w:sz="8" w:space="0"/>
              <w:left w:val="single" w:color="auto" w:sz="8" w:space="0"/>
              <w:bottom w:val="single" w:color="auto" w:sz="8" w:space="0"/>
              <w:right w:val="single" w:color="auto" w:sz="8" w:space="0"/>
            </w:tcBorders>
            <w:vAlign w:val="center"/>
          </w:tcPr>
          <w:p w14:paraId="07F0654F">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发明专利</w:t>
            </w:r>
          </w:p>
        </w:tc>
        <w:tc>
          <w:tcPr>
            <w:tcW w:w="1276" w:type="dxa"/>
            <w:tcBorders>
              <w:top w:val="single" w:color="auto" w:sz="8" w:space="0"/>
              <w:left w:val="single" w:color="auto" w:sz="8" w:space="0"/>
              <w:bottom w:val="single" w:color="auto" w:sz="8" w:space="0"/>
              <w:right w:val="single" w:color="auto" w:sz="8" w:space="0"/>
            </w:tcBorders>
            <w:vAlign w:val="center"/>
          </w:tcPr>
          <w:p w14:paraId="3F234138">
            <w:pPr>
              <w:keepNext w:val="0"/>
              <w:keepLines w:val="0"/>
              <w:pageBreakBefore w:val="0"/>
              <w:widowControl w:val="0"/>
              <w:kinsoku/>
              <w:wordWrap/>
              <w:overflowPunct/>
              <w:topLinePunct w:val="0"/>
              <w:autoSpaceDE w:val="0"/>
              <w:autoSpaceDN w:val="0"/>
              <w:bidi w:val="0"/>
              <w:adjustRightInd w:val="0"/>
              <w:snapToGrid/>
              <w:spacing w:line="320" w:lineRule="exact"/>
              <w:jc w:val="left"/>
              <w:textAlignment w:val="auto"/>
              <w:rPr>
                <w:rFonts w:eastAsiaTheme="minorEastAsia"/>
                <w:szCs w:val="21"/>
              </w:rPr>
            </w:pPr>
            <w:r>
              <w:rPr>
                <w:rFonts w:eastAsiaTheme="minorEastAsia"/>
                <w:kern w:val="0"/>
                <w:szCs w:val="21"/>
              </w:rPr>
              <w:t>凝集素类受体蛋白TaLecRLK2及其编码基因与应用</w:t>
            </w:r>
          </w:p>
        </w:tc>
        <w:tc>
          <w:tcPr>
            <w:tcW w:w="1134" w:type="dxa"/>
            <w:tcBorders>
              <w:top w:val="single" w:color="auto" w:sz="8" w:space="0"/>
              <w:left w:val="single" w:color="auto" w:sz="8" w:space="0"/>
              <w:bottom w:val="single" w:color="auto" w:sz="8" w:space="0"/>
              <w:right w:val="single" w:color="auto" w:sz="8" w:space="0"/>
            </w:tcBorders>
            <w:vAlign w:val="center"/>
          </w:tcPr>
          <w:p w14:paraId="7C4D5887">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szCs w:val="21"/>
              </w:rPr>
              <w:t>中国</w:t>
            </w:r>
          </w:p>
        </w:tc>
        <w:tc>
          <w:tcPr>
            <w:tcW w:w="852" w:type="dxa"/>
            <w:tcBorders>
              <w:top w:val="single" w:color="auto" w:sz="8" w:space="0"/>
              <w:left w:val="single" w:color="auto" w:sz="8" w:space="0"/>
              <w:bottom w:val="single" w:color="auto" w:sz="8" w:space="0"/>
              <w:right w:val="single" w:color="auto" w:sz="8" w:space="0"/>
            </w:tcBorders>
            <w:vAlign w:val="center"/>
          </w:tcPr>
          <w:p w14:paraId="22D416B5">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ZL202310538546.1</w:t>
            </w:r>
          </w:p>
        </w:tc>
        <w:tc>
          <w:tcPr>
            <w:tcW w:w="1134" w:type="dxa"/>
            <w:tcBorders>
              <w:top w:val="single" w:color="auto" w:sz="8" w:space="0"/>
              <w:left w:val="single" w:color="auto" w:sz="8" w:space="0"/>
              <w:bottom w:val="single" w:color="auto" w:sz="8" w:space="0"/>
              <w:right w:val="single" w:color="auto" w:sz="8" w:space="0"/>
            </w:tcBorders>
            <w:vAlign w:val="center"/>
          </w:tcPr>
          <w:p w14:paraId="68481965">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2023年08月25日</w:t>
            </w:r>
          </w:p>
        </w:tc>
        <w:tc>
          <w:tcPr>
            <w:tcW w:w="1014" w:type="dxa"/>
            <w:tcBorders>
              <w:top w:val="single" w:color="auto" w:sz="8" w:space="0"/>
              <w:left w:val="single" w:color="auto" w:sz="8" w:space="0"/>
              <w:bottom w:val="single" w:color="auto" w:sz="8" w:space="0"/>
              <w:right w:val="single" w:color="auto" w:sz="8" w:space="0"/>
            </w:tcBorders>
            <w:vAlign w:val="center"/>
          </w:tcPr>
          <w:p w14:paraId="7531F998">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6267879</w:t>
            </w:r>
          </w:p>
        </w:tc>
        <w:tc>
          <w:tcPr>
            <w:tcW w:w="970" w:type="dxa"/>
            <w:tcBorders>
              <w:top w:val="single" w:color="auto" w:sz="8" w:space="0"/>
              <w:left w:val="single" w:color="auto" w:sz="8" w:space="0"/>
              <w:bottom w:val="single" w:color="auto" w:sz="8" w:space="0"/>
              <w:right w:val="single" w:color="auto" w:sz="8" w:space="0"/>
            </w:tcBorders>
            <w:vAlign w:val="center"/>
          </w:tcPr>
          <w:p w14:paraId="5138E4B3">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西北农林科技大学深圳研究院</w:t>
            </w:r>
          </w:p>
        </w:tc>
        <w:tc>
          <w:tcPr>
            <w:tcW w:w="898" w:type="dxa"/>
            <w:tcBorders>
              <w:top w:val="single" w:color="auto" w:sz="8" w:space="0"/>
              <w:left w:val="single" w:color="auto" w:sz="8" w:space="0"/>
              <w:bottom w:val="single" w:color="auto" w:sz="8" w:space="0"/>
              <w:right w:val="single" w:color="auto" w:sz="8" w:space="0"/>
            </w:tcBorders>
            <w:vAlign w:val="center"/>
          </w:tcPr>
          <w:p w14:paraId="149DE9F4">
            <w:pPr>
              <w:keepNext w:val="0"/>
              <w:keepLines w:val="0"/>
              <w:pageBreakBefore w:val="0"/>
              <w:widowControl w:val="0"/>
              <w:kinsoku/>
              <w:wordWrap/>
              <w:overflowPunct/>
              <w:topLinePunct w:val="0"/>
              <w:bidi w:val="0"/>
              <w:snapToGrid/>
              <w:spacing w:line="320" w:lineRule="exact"/>
              <w:jc w:val="left"/>
              <w:textAlignment w:val="auto"/>
              <w:rPr>
                <w:rFonts w:eastAsiaTheme="minorEastAsia"/>
                <w:szCs w:val="21"/>
              </w:rPr>
            </w:pPr>
            <w:r>
              <w:rPr>
                <w:rFonts w:eastAsiaTheme="minorEastAsia"/>
                <w:kern w:val="0"/>
                <w:szCs w:val="21"/>
              </w:rPr>
              <w:t>王建锋</w:t>
            </w:r>
            <w:r>
              <w:rPr>
                <w:rFonts w:hint="eastAsia" w:eastAsiaTheme="minorEastAsia"/>
                <w:kern w:val="0"/>
                <w:szCs w:val="21"/>
              </w:rPr>
              <w:t>，</w:t>
            </w:r>
            <w:r>
              <w:rPr>
                <w:rFonts w:eastAsiaTheme="minorEastAsia"/>
                <w:kern w:val="0"/>
                <w:szCs w:val="21"/>
              </w:rPr>
              <w:t>王晓杰</w:t>
            </w:r>
            <w:r>
              <w:rPr>
                <w:rFonts w:hint="eastAsia" w:eastAsiaTheme="minorEastAsia"/>
                <w:kern w:val="0"/>
                <w:szCs w:val="21"/>
              </w:rPr>
              <w:t>，</w:t>
            </w:r>
            <w:r>
              <w:rPr>
                <w:rFonts w:eastAsiaTheme="minorEastAsia"/>
                <w:kern w:val="0"/>
                <w:szCs w:val="21"/>
              </w:rPr>
              <w:t>姜超</w:t>
            </w:r>
            <w:r>
              <w:rPr>
                <w:rFonts w:hint="eastAsia" w:eastAsiaTheme="minorEastAsia"/>
                <w:kern w:val="0"/>
                <w:szCs w:val="21"/>
              </w:rPr>
              <w:t>，</w:t>
            </w:r>
            <w:r>
              <w:rPr>
                <w:rFonts w:eastAsiaTheme="minorEastAsia"/>
                <w:kern w:val="0"/>
                <w:szCs w:val="21"/>
              </w:rPr>
              <w:t>汤春蕾</w:t>
            </w:r>
            <w:r>
              <w:rPr>
                <w:rFonts w:hint="eastAsia" w:eastAsiaTheme="minorEastAsia"/>
                <w:kern w:val="0"/>
                <w:szCs w:val="21"/>
              </w:rPr>
              <w:t>，</w:t>
            </w:r>
            <w:r>
              <w:rPr>
                <w:rFonts w:eastAsiaTheme="minorEastAsia"/>
                <w:kern w:val="0"/>
                <w:szCs w:val="21"/>
              </w:rPr>
              <w:t>康振生</w:t>
            </w:r>
            <w:r>
              <w:rPr>
                <w:rFonts w:hint="eastAsia" w:eastAsiaTheme="minorEastAsia"/>
                <w:kern w:val="0"/>
                <w:szCs w:val="21"/>
              </w:rPr>
              <w:t>，</w:t>
            </w:r>
            <w:r>
              <w:rPr>
                <w:rFonts w:eastAsiaTheme="minorEastAsia"/>
                <w:kern w:val="0"/>
                <w:szCs w:val="21"/>
              </w:rPr>
              <w:t>王宁</w:t>
            </w:r>
            <w:r>
              <w:rPr>
                <w:rFonts w:hint="eastAsia" w:eastAsiaTheme="minorEastAsia"/>
                <w:kern w:val="0"/>
                <w:szCs w:val="21"/>
              </w:rPr>
              <w:t>，</w:t>
            </w:r>
            <w:r>
              <w:rPr>
                <w:rFonts w:eastAsiaTheme="minorEastAsia"/>
                <w:kern w:val="0"/>
                <w:szCs w:val="21"/>
              </w:rPr>
              <w:t>甘鹏飞</w:t>
            </w:r>
          </w:p>
        </w:tc>
      </w:tr>
      <w:tr w14:paraId="22B212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7" w:hRule="atLeast"/>
          <w:jc w:val="center"/>
        </w:trPr>
        <w:tc>
          <w:tcPr>
            <w:tcW w:w="8946" w:type="dxa"/>
            <w:gridSpan w:val="9"/>
            <w:tcBorders>
              <w:top w:val="single" w:color="auto" w:sz="8" w:space="0"/>
              <w:left w:val="single" w:color="auto" w:sz="8" w:space="0"/>
              <w:bottom w:val="single" w:color="auto" w:sz="8" w:space="0"/>
              <w:right w:val="single" w:color="auto" w:sz="8" w:space="0"/>
            </w:tcBorders>
            <w:vAlign w:val="center"/>
          </w:tcPr>
          <w:p w14:paraId="64F0E0A6">
            <w:pPr>
              <w:keepNext w:val="0"/>
              <w:keepLines w:val="0"/>
              <w:pageBreakBefore w:val="0"/>
              <w:widowControl w:val="0"/>
              <w:kinsoku/>
              <w:wordWrap/>
              <w:overflowPunct/>
              <w:topLinePunct w:val="0"/>
              <w:bidi w:val="0"/>
              <w:snapToGrid/>
              <w:spacing w:line="320" w:lineRule="exact"/>
              <w:jc w:val="left"/>
              <w:textAlignment w:val="auto"/>
              <w:rPr>
                <w:szCs w:val="21"/>
              </w:rPr>
            </w:pPr>
            <w:r>
              <w:rPr>
                <w:bCs/>
              </w:rPr>
              <w:t>本表所填知识产权指在国内外获得的专利、计算机软件著作权和其他知识产权。</w:t>
            </w:r>
          </w:p>
        </w:tc>
      </w:tr>
    </w:tbl>
    <w:p w14:paraId="346094BF">
      <w:pPr>
        <w:snapToGrid w:val="0"/>
        <w:spacing w:after="156" w:afterLines="50" w:line="400" w:lineRule="exact"/>
        <w:ind w:firstLine="560" w:firstLineChars="200"/>
        <w:rPr>
          <w:rFonts w:hint="default" w:ascii="黑体" w:eastAsia="黑体" w:cs="黑体"/>
          <w:kern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CA5"/>
    <w:rsid w:val="00011D87"/>
    <w:rsid w:val="000D3E31"/>
    <w:rsid w:val="000E6917"/>
    <w:rsid w:val="00105559"/>
    <w:rsid w:val="00196EC9"/>
    <w:rsid w:val="001D131C"/>
    <w:rsid w:val="0022430C"/>
    <w:rsid w:val="002279A3"/>
    <w:rsid w:val="00244627"/>
    <w:rsid w:val="00297C86"/>
    <w:rsid w:val="00305C12"/>
    <w:rsid w:val="003A5EA8"/>
    <w:rsid w:val="00425044"/>
    <w:rsid w:val="00437A2F"/>
    <w:rsid w:val="004401A0"/>
    <w:rsid w:val="00472CA5"/>
    <w:rsid w:val="00476934"/>
    <w:rsid w:val="00490188"/>
    <w:rsid w:val="0049336E"/>
    <w:rsid w:val="00495545"/>
    <w:rsid w:val="00512B15"/>
    <w:rsid w:val="00534AE7"/>
    <w:rsid w:val="005372F4"/>
    <w:rsid w:val="005D2831"/>
    <w:rsid w:val="005D79A0"/>
    <w:rsid w:val="006019A7"/>
    <w:rsid w:val="006132B6"/>
    <w:rsid w:val="00660B81"/>
    <w:rsid w:val="006A4017"/>
    <w:rsid w:val="006C2BA2"/>
    <w:rsid w:val="006C4E37"/>
    <w:rsid w:val="0070773E"/>
    <w:rsid w:val="007437BA"/>
    <w:rsid w:val="00785C89"/>
    <w:rsid w:val="007A6B1C"/>
    <w:rsid w:val="007D4D6E"/>
    <w:rsid w:val="00802AB3"/>
    <w:rsid w:val="00832151"/>
    <w:rsid w:val="008377D4"/>
    <w:rsid w:val="00843F93"/>
    <w:rsid w:val="008C133B"/>
    <w:rsid w:val="00930FC6"/>
    <w:rsid w:val="00A00B40"/>
    <w:rsid w:val="00A378CA"/>
    <w:rsid w:val="00A779D2"/>
    <w:rsid w:val="00AA3A53"/>
    <w:rsid w:val="00AC0473"/>
    <w:rsid w:val="00AC2A74"/>
    <w:rsid w:val="00BD0B88"/>
    <w:rsid w:val="00BF6CCB"/>
    <w:rsid w:val="00CD6A43"/>
    <w:rsid w:val="00CF43CC"/>
    <w:rsid w:val="00D36B67"/>
    <w:rsid w:val="00D5243A"/>
    <w:rsid w:val="00D97C33"/>
    <w:rsid w:val="00E26476"/>
    <w:rsid w:val="00F045AA"/>
    <w:rsid w:val="00F26786"/>
    <w:rsid w:val="00F46ADD"/>
    <w:rsid w:val="00FD0F21"/>
    <w:rsid w:val="01463155"/>
    <w:rsid w:val="2B885BB0"/>
    <w:rsid w:val="31AC0DC2"/>
    <w:rsid w:val="459E745F"/>
    <w:rsid w:val="55E51B0C"/>
    <w:rsid w:val="5E217EDA"/>
    <w:rsid w:val="7CED14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style>
  <w:style w:type="paragraph" w:styleId="2">
    <w:name w:val="heading 1"/>
    <w:basedOn w:val="1"/>
    <w:next w:val="1"/>
    <w:link w:val="6"/>
    <w:qFormat/>
    <w:uiPriority w:val="9"/>
    <w:pPr>
      <w:keepNext/>
      <w:keepLines/>
      <w:spacing w:line="360" w:lineRule="auto"/>
      <w:jc w:val="center"/>
      <w:outlineLvl w:val="0"/>
    </w:pPr>
    <w:rPr>
      <w:b/>
      <w:bCs/>
      <w:kern w:val="44"/>
      <w:sz w:val="36"/>
      <w:szCs w:val="44"/>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color w:val="auto"/>
      <w:sz w:val="18"/>
    </w:rPr>
  </w:style>
  <w:style w:type="character" w:customStyle="1" w:styleId="6">
    <w:name w:val="标题 1 字符"/>
    <w:basedOn w:val="5"/>
    <w:link w:val="2"/>
    <w:uiPriority w:val="9"/>
    <w:rPr>
      <w:b/>
      <w:bCs/>
      <w:kern w:val="44"/>
      <w:sz w:val="36"/>
      <w:szCs w:val="44"/>
    </w:rPr>
  </w:style>
  <w:style w:type="paragraph" w:styleId="7">
    <w:name w:val="No Spacing"/>
    <w:qFormat/>
    <w:uiPriority w:val="1"/>
    <w:pPr>
      <w:widowControl w:val="0"/>
      <w:spacing w:after="50" w:afterLines="50" w:line="400" w:lineRule="exact"/>
      <w:jc w:val="both"/>
    </w:pPr>
    <w:rPr>
      <w:rFonts w:ascii="Times New Roman" w:hAnsi="Times New Roman" w:eastAsia="宋体" w:cs="Times New Roman"/>
      <w:color w:val="000000" w:themeColor="text1"/>
      <w:kern w:val="2"/>
      <w:sz w:val="24"/>
      <w:szCs w:val="24"/>
      <w:lang w:val="en-US" w:eastAsia="zh-CN" w:bidi="ar-SA"/>
      <w14:textFill>
        <w14:solidFill>
          <w14:schemeClr w14:val="tx1"/>
        </w14:solidFill>
      </w14:textFill>
    </w:rPr>
  </w:style>
  <w:style w:type="paragraph" w:styleId="8">
    <w:name w:val="List Paragraph"/>
    <w:basedOn w:val="1"/>
    <w:qFormat/>
    <w:uiPriority w:val="34"/>
    <w:pPr>
      <w:ind w:firstLine="420" w:firstLineChars="200"/>
    </w:pPr>
  </w:style>
  <w:style w:type="character" w:customStyle="1" w:styleId="9">
    <w:name w:val="页脚 字符"/>
    <w:basedOn w:val="5"/>
    <w:link w:val="3"/>
    <w:qFormat/>
    <w:uiPriority w:val="99"/>
    <w:rPr>
      <w:color w:val="auto"/>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14</Pages>
  <Words>9565</Words>
  <Characters>16317</Characters>
  <Lines>45</Lines>
  <Paragraphs>12</Paragraphs>
  <TotalTime>1</TotalTime>
  <ScaleCrop>false</ScaleCrop>
  <LinksUpToDate>false</LinksUpToDate>
  <CharactersWithSpaces>17798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2025-04-15T02:51:00Z</dcterms:created>
  <dc:creator>赵晶</dc:creator>
  <cp:lastModifiedBy>苏志国</cp:lastModifiedBy>
  <dcterms:modified xsi:type="dcterms:W3CDTF">2025-04-15T07:57:01Z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eyJoZGlkIjoiNjNhZmRiYTg2YzMzODY4Zjk0NTAzYmI4ZjkzMGM3MjgiLCJ1c2VySWQiOiI4MTQ0Mjc0NDEifQ==</vt:lpwstr>
  </property>
  <property fmtid="{D5CDD505-2E9C-101B-9397-08002B2CF9AE}" pid="3" name="KSOProductBuildVer">
    <vt:lpwstr>2052-12.1.0.20784</vt:lpwstr>
  </property>
  <property fmtid="{D5CDD505-2E9C-101B-9397-08002B2CF9AE}" pid="4" name="ICV">
    <vt:lpwstr>04010759672A4C77B8E544BA0371756A_12</vt:lpwstr>
  </property>
</Properties>
</file>