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加快建设概念验证中心和中试基地</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的实施意见</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jc w:val="center"/>
        <w:textAlignment w:val="auto"/>
        <w:rPr>
          <w:rFonts w:hint="eastAsia" w:ascii="方正小标宋简体" w:hAnsi="方正小标宋简体" w:eastAsia="方正小标宋简体" w:cs="方正小标宋简体"/>
          <w:sz w:val="44"/>
          <w:szCs w:val="44"/>
          <w:lang w:val="en-US" w:eastAsia="zh-CN"/>
        </w:rPr>
      </w:pPr>
    </w:p>
    <w:p>
      <w:pPr>
        <w:adjustRightInd w:val="0"/>
        <w:snapToGrid w:val="0"/>
        <w:spacing w:line="560" w:lineRule="exact"/>
        <w:ind w:firstLine="640" w:firstLineChars="20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为全面贯彻落</w:t>
      </w:r>
      <w:bookmarkStart w:id="0" w:name="_GoBack"/>
      <w:bookmarkEnd w:id="0"/>
      <w:r>
        <w:rPr>
          <w:rFonts w:hint="eastAsia" w:ascii="仿宋_GB2312" w:eastAsia="仿宋_GB2312"/>
          <w:sz w:val="32"/>
          <w:szCs w:val="32"/>
          <w:lang w:val="en-US" w:eastAsia="zh-CN"/>
        </w:rPr>
        <w:t>实《中共陕西省委关于深入实施创新驱动发展战略 加快建设科技强省的决定》，实施好秦创原建设新一轮三年行动计划，加快建设一批高能级的概念验证中心和中试基地，及时将科技创新成果应用到具体产业和产业链上，结合我省实际，制定本实施意见。</w:t>
      </w:r>
    </w:p>
    <w:p>
      <w:pPr>
        <w:pStyle w:val="2"/>
        <w:adjustRightInd w:val="0"/>
        <w:snapToGrid w:val="0"/>
        <w:spacing w:before="0" w:after="0" w:line="560" w:lineRule="exact"/>
        <w:ind w:firstLine="640" w:firstLineChars="200"/>
        <w:rPr>
          <w:rFonts w:ascii="黑体" w:hAnsi="黑体"/>
          <w:sz w:val="32"/>
          <w:szCs w:val="32"/>
        </w:rPr>
      </w:pPr>
      <w:r>
        <w:rPr>
          <w:rFonts w:ascii="黑体" w:hAnsi="黑体"/>
          <w:b w:val="0"/>
          <w:bCs/>
          <w:sz w:val="32"/>
          <w:szCs w:val="32"/>
        </w:rPr>
        <w:t>一、总体要求</w:t>
      </w:r>
    </w:p>
    <w:p>
      <w:pPr>
        <w:adjustRightInd w:val="0"/>
        <w:snapToGrid w:val="0"/>
        <w:spacing w:line="560" w:lineRule="exact"/>
        <w:ind w:firstLine="640" w:firstLineChars="20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以习近平新时代中国特色社会主义思想为指导，深入学习贯彻习近平总书记关于科技创新、新质生产力的重要论述和历次来陕考察重要讲话重要指示，坚持以科技创新推动产业创新，围绕打造具有全球影响力的硬科技创新策源地、具有前沿引领性的未来产业启航地和“一带一路”高端人才首选地，聚焦科技成果应用价值的概念验证和中试熟化，强化“政府引导、市场主导、融通创新、开放共享”，促进创新链产业链资金链人才链深度融合，加快推动科技成果向现实生产力转化，培育壮大新质生产力。</w:t>
      </w:r>
    </w:p>
    <w:p>
      <w:pPr>
        <w:adjustRightInd w:val="0"/>
        <w:snapToGrid w:val="0"/>
        <w:spacing w:line="560" w:lineRule="exact"/>
        <w:ind w:firstLine="640" w:firstLineChars="20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围绕全省重点产业链和产业创新聚集区建设，以“概念验证+中试基地”双支撑加快科技成果产业化，到2026年底，培育认定60个</w:t>
      </w:r>
      <w:r>
        <w:rPr>
          <w:rFonts w:hint="default" w:ascii="仿宋_GB2312" w:eastAsia="仿宋_GB2312"/>
          <w:sz w:val="32"/>
          <w:szCs w:val="32"/>
          <w:lang w:val="en-US" w:eastAsia="zh-CN"/>
        </w:rPr>
        <w:t>概念验证中心和中试基地，开</w:t>
      </w:r>
      <w:r>
        <w:rPr>
          <w:rFonts w:hint="eastAsia" w:ascii="仿宋_GB2312" w:eastAsia="仿宋_GB2312"/>
          <w:sz w:val="32"/>
          <w:szCs w:val="32"/>
          <w:lang w:val="en-US" w:eastAsia="zh-CN"/>
        </w:rPr>
        <w:t>展500项概念验证、500项中试熟化服务，推动300个新产品上市，孵化200家科技型企业，形成具有陕西特色的科技成果转化模式，加快改造提升传统产业、培育壮大新兴产业、布局建设未来产业。</w:t>
      </w:r>
    </w:p>
    <w:p>
      <w:pPr>
        <w:pStyle w:val="2"/>
        <w:adjustRightInd w:val="0"/>
        <w:snapToGrid w:val="0"/>
        <w:spacing w:before="0" w:after="0" w:line="560" w:lineRule="exact"/>
        <w:ind w:firstLine="640" w:firstLineChars="200"/>
        <w:rPr>
          <w:rFonts w:ascii="黑体" w:hAnsi="黑体"/>
          <w:sz w:val="32"/>
          <w:szCs w:val="32"/>
        </w:rPr>
      </w:pPr>
      <w:r>
        <w:rPr>
          <w:rFonts w:hint="eastAsia" w:ascii="黑体" w:hAnsi="黑体" w:cs="黑体"/>
          <w:b w:val="0"/>
          <w:bCs/>
          <w:sz w:val="32"/>
          <w:szCs w:val="32"/>
        </w:rPr>
        <w:t>二、主要任务</w:t>
      </w:r>
    </w:p>
    <w:p>
      <w:pPr>
        <w:adjustRightInd w:val="0"/>
        <w:snapToGrid w:val="0"/>
        <w:spacing w:line="560" w:lineRule="exact"/>
        <w:ind w:firstLine="640" w:firstLineChars="200"/>
        <w:rPr>
          <w:rFonts w:hint="eastAsia" w:ascii="仿宋_GB2312" w:eastAsia="仿宋_GB2312"/>
          <w:sz w:val="32"/>
          <w:szCs w:val="32"/>
          <w:lang w:val="en-US" w:eastAsia="zh-CN"/>
        </w:rPr>
      </w:pPr>
      <w:r>
        <w:rPr>
          <w:rFonts w:hint="eastAsia" w:ascii="楷体" w:hAnsi="楷体" w:eastAsia="楷体" w:cs="楷体"/>
          <w:sz w:val="32"/>
          <w:szCs w:val="32"/>
        </w:rPr>
        <w:t>（一）布局建设概念验证中心。</w:t>
      </w:r>
      <w:r>
        <w:rPr>
          <w:rFonts w:hint="eastAsia" w:ascii="仿宋_GB2312" w:eastAsia="仿宋_GB2312"/>
          <w:sz w:val="32"/>
          <w:szCs w:val="32"/>
          <w:lang w:val="en-US" w:eastAsia="zh-CN"/>
        </w:rPr>
        <w:t>围绕光子、氢能及储能、人工智能与机器人、智能网联汽车、第三代半导体等新赛道建设概念验证中心，提供原理验证、产品与场景体系验证、原型制备与技术可行性验证、商业前景验证等概念验证及关联服务，加速挖掘和释放基础研究成果价值，加快推动实验室成果与应用场景深度融合。</w:t>
      </w:r>
    </w:p>
    <w:p>
      <w:pPr>
        <w:adjustRightInd w:val="0"/>
        <w:snapToGrid w:val="0"/>
        <w:spacing w:line="560" w:lineRule="exact"/>
        <w:ind w:firstLine="640" w:firstLineChars="200"/>
        <w:rPr>
          <w:rFonts w:ascii="仿宋_GB2312" w:eastAsia="仿宋_GB2312"/>
          <w:sz w:val="32"/>
          <w:szCs w:val="32"/>
        </w:rPr>
      </w:pPr>
      <w:r>
        <w:rPr>
          <w:rFonts w:hint="eastAsia" w:ascii="楷体" w:hAnsi="楷体" w:eastAsia="楷体" w:cs="楷体"/>
          <w:sz w:val="32"/>
          <w:szCs w:val="32"/>
        </w:rPr>
        <w:t>（二）布局建设中试基地。</w:t>
      </w:r>
      <w:r>
        <w:rPr>
          <w:rFonts w:hint="eastAsia" w:ascii="仿宋_GB2312" w:eastAsia="仿宋_GB2312"/>
          <w:sz w:val="32"/>
          <w:szCs w:val="32"/>
        </w:rPr>
        <w:t>围绕能源化工、航空航天、装备制造、生物医药、新材料等优势产业，依托科技领军企业建设中试基地，重点开展科技成果二次开发实验或试生产，为规模生产提供成熟、适用、成套技术的中间试验服务。鼓励科技领军企业与上下游企业、高校院所，共同组织实施关键共性技术成果中试熟化。支持开展人工智能+、医工交叉等跨行业跨领域的技术成果中试。</w:t>
      </w:r>
    </w:p>
    <w:p>
      <w:pPr>
        <w:pStyle w:val="10"/>
        <w:numPr>
          <w:ilvl w:val="255"/>
          <w:numId w:val="0"/>
        </w:numPr>
        <w:shd w:val="clear" w:color="auto" w:fill="FFFFFF"/>
        <w:adjustRightInd w:val="0"/>
        <w:snapToGrid w:val="0"/>
        <w:spacing w:before="0" w:beforeAutospacing="0" w:after="0" w:afterAutospacing="0" w:line="560" w:lineRule="exact"/>
        <w:ind w:firstLine="640" w:firstLineChars="200"/>
        <w:jc w:val="both"/>
        <w:rPr>
          <w:rFonts w:ascii="仿宋_GB2312" w:hAnsi="仿宋" w:eastAsia="仿宋_GB2312"/>
          <w:sz w:val="32"/>
          <w:szCs w:val="32"/>
        </w:rPr>
      </w:pPr>
      <w:r>
        <w:rPr>
          <w:rFonts w:hint="eastAsia" w:ascii="楷体" w:hAnsi="楷体" w:eastAsia="楷体" w:cs="楷体"/>
          <w:kern w:val="2"/>
          <w:sz w:val="32"/>
          <w:szCs w:val="32"/>
          <w:lang w:val="en-US" w:eastAsia="zh-CN" w:bidi="ar-SA"/>
        </w:rPr>
        <w:t>（三）提高开放共享服务效能。</w:t>
      </w:r>
      <w:r>
        <w:rPr>
          <w:rFonts w:hint="eastAsia" w:ascii="仿宋_GB2312" w:hAnsi="仿宋" w:eastAsia="仿宋_GB2312"/>
          <w:sz w:val="32"/>
          <w:szCs w:val="32"/>
        </w:rPr>
        <w:t>推动概念验证中心和中试基地制定</w:t>
      </w:r>
      <w:r>
        <w:rPr>
          <w:rFonts w:hint="eastAsia" w:ascii="仿宋_GB2312" w:eastAsia="仿宋_GB2312"/>
          <w:sz w:val="32"/>
          <w:szCs w:val="32"/>
        </w:rPr>
        <w:t>场景应用清单、中试服务清单、大型科学仪器与装备共享清单和</w:t>
      </w:r>
      <w:r>
        <w:rPr>
          <w:rFonts w:hint="eastAsia" w:ascii="仿宋_GB2312" w:hAnsi="仿宋" w:eastAsia="仿宋_GB2312"/>
          <w:sz w:val="32"/>
          <w:szCs w:val="32"/>
        </w:rPr>
        <w:t>服务规范规则，提高开放共享服务能力。</w:t>
      </w:r>
      <w:r>
        <w:rPr>
          <w:rFonts w:hint="eastAsia" w:ascii="仿宋_GB2312" w:hAnsi="楷体" w:eastAsia="仿宋_GB2312"/>
          <w:sz w:val="32"/>
          <w:szCs w:val="32"/>
        </w:rPr>
        <w:t>强化市场导向，</w:t>
      </w:r>
      <w:r>
        <w:rPr>
          <w:rFonts w:hint="eastAsia" w:ascii="仿宋_GB2312" w:hAnsi="仿宋" w:eastAsia="仿宋_GB2312"/>
          <w:sz w:val="32"/>
          <w:szCs w:val="32"/>
        </w:rPr>
        <w:t>探索与熟化产品利益绑定等收入模式，完善科技成果转化收益分配机制，提高可持续发展能力。</w:t>
      </w:r>
    </w:p>
    <w:p>
      <w:pPr>
        <w:pStyle w:val="5"/>
        <w:numPr>
          <w:ilvl w:val="255"/>
          <w:numId w:val="0"/>
        </w:numPr>
        <w:topLinePunct/>
        <w:adjustRightInd w:val="0"/>
        <w:snapToGrid w:val="0"/>
        <w:spacing w:after="0" w:line="560" w:lineRule="exact"/>
        <w:ind w:firstLine="640" w:firstLineChars="200"/>
        <w:textAlignment w:val="baseline"/>
        <w:rPr>
          <w:rFonts w:hint="eastAsia" w:ascii="仿宋_GB2312" w:eastAsia="仿宋_GB2312" w:hAnsiTheme="minorHAnsi" w:cstheme="minorBidi"/>
          <w:kern w:val="2"/>
          <w:sz w:val="32"/>
          <w:szCs w:val="32"/>
          <w:lang w:val="en-US" w:eastAsia="zh-CN" w:bidi="ar-SA"/>
        </w:rPr>
      </w:pPr>
      <w:r>
        <w:rPr>
          <w:rFonts w:hint="eastAsia" w:ascii="楷体" w:hAnsi="楷体" w:eastAsia="楷体" w:cs="楷体"/>
          <w:kern w:val="2"/>
          <w:sz w:val="32"/>
          <w:szCs w:val="32"/>
          <w:lang w:val="en-US" w:eastAsia="zh-CN" w:bidi="ar-SA"/>
        </w:rPr>
        <w:t>（四）引育科技成果转化人才。</w:t>
      </w:r>
      <w:r>
        <w:rPr>
          <w:rFonts w:hint="eastAsia" w:ascii="仿宋_GB2312" w:eastAsia="仿宋_GB2312" w:hAnsiTheme="minorHAnsi" w:cstheme="minorBidi"/>
          <w:kern w:val="2"/>
          <w:sz w:val="32"/>
          <w:szCs w:val="32"/>
          <w:lang w:val="en-US" w:eastAsia="zh-CN" w:bidi="ar-SA"/>
        </w:rPr>
        <w:t>依托概念验证中心，深化科技成果转化“三项改革”，支持高校院所培育科技成果转化专业技术人才。依托中试基地，培育壮大高层次工程技术人才和高技能领军人才队伍，提高企业承接科技成果转化的能力。做好技术经理人培训、认定，加快培育一批高能级的技术经理人。</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sz w:val="32"/>
          <w:szCs w:val="32"/>
        </w:rPr>
        <w:t>（五）建立多元化投入体系。</w:t>
      </w:r>
      <w:r>
        <w:rPr>
          <w:rFonts w:hint="eastAsia" w:ascii="仿宋_GB2312" w:hAnsi="仿宋" w:eastAsia="仿宋_GB2312" w:cs="仿宋"/>
          <w:bCs w:val="0"/>
          <w:sz w:val="32"/>
          <w:szCs w:val="32"/>
        </w:rPr>
        <w:t>加大政策引导力度，</w:t>
      </w:r>
      <w:r>
        <w:rPr>
          <w:rFonts w:hint="eastAsia" w:ascii="仿宋_GB2312" w:hAnsi="仿宋" w:eastAsia="仿宋_GB2312" w:cs="仿宋"/>
          <w:sz w:val="32"/>
          <w:szCs w:val="32"/>
        </w:rPr>
        <w:t>对新认定的概念验证中心或中试基地，给予一定经费</w:t>
      </w:r>
      <w:r>
        <w:rPr>
          <w:rFonts w:hint="eastAsia" w:ascii="仿宋_GB2312" w:hAnsi="仿宋" w:eastAsia="仿宋_GB2312" w:cs="仿宋"/>
          <w:sz w:val="32"/>
          <w:szCs w:val="32"/>
          <w:lang w:eastAsia="zh-CN"/>
        </w:rPr>
        <w:t>支持</w:t>
      </w:r>
      <w:r>
        <w:rPr>
          <w:rFonts w:hint="eastAsia" w:ascii="仿宋_GB2312" w:hAnsi="仿宋" w:eastAsia="仿宋_GB2312" w:cs="仿宋"/>
          <w:sz w:val="32"/>
          <w:szCs w:val="32"/>
        </w:rPr>
        <w:t>。</w:t>
      </w:r>
      <w:r>
        <w:rPr>
          <w:rFonts w:hint="eastAsia" w:ascii="仿宋_GB2312" w:hAnsi="仿宋" w:eastAsia="仿宋_GB2312"/>
          <w:sz w:val="32"/>
          <w:szCs w:val="32"/>
        </w:rPr>
        <w:t>创新财政资金使用方式，鼓励依托高校院所建设的概念验证中心法人实体化运作。鼓励国有资本、社会资本联合设立概念验证基金和中试基金，投资概念验证成果和中试熟化项目。</w:t>
      </w:r>
    </w:p>
    <w:p>
      <w:pPr>
        <w:pStyle w:val="2"/>
        <w:adjustRightInd w:val="0"/>
        <w:snapToGrid w:val="0"/>
        <w:spacing w:before="0" w:after="0" w:line="560" w:lineRule="exact"/>
        <w:ind w:firstLine="640" w:firstLineChars="200"/>
        <w:rPr>
          <w:rFonts w:ascii="黑体" w:hAnsi="黑体"/>
          <w:sz w:val="32"/>
          <w:szCs w:val="32"/>
        </w:rPr>
      </w:pPr>
      <w:r>
        <w:rPr>
          <w:rFonts w:hint="eastAsia" w:ascii="黑体" w:hAnsi="黑体"/>
          <w:b w:val="0"/>
          <w:bCs/>
          <w:sz w:val="32"/>
          <w:szCs w:val="32"/>
        </w:rPr>
        <w:t>三、创建条件</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sz w:val="32"/>
          <w:szCs w:val="32"/>
        </w:rPr>
        <w:t>（一）概念验证中心。</w:t>
      </w:r>
      <w:r>
        <w:rPr>
          <w:rFonts w:hint="eastAsia" w:ascii="仿宋_GB2312" w:hAnsi="仿宋" w:eastAsia="仿宋_GB2312"/>
          <w:sz w:val="32"/>
          <w:szCs w:val="32"/>
        </w:rPr>
        <w:t>支持高校院所</w:t>
      </w:r>
      <w:r>
        <w:rPr>
          <w:rFonts w:hint="eastAsia" w:ascii="仿宋_GB2312" w:hAnsi="仿宋" w:eastAsia="仿宋_GB2312"/>
          <w:sz w:val="32"/>
          <w:szCs w:val="32"/>
          <w:lang w:eastAsia="zh-CN"/>
        </w:rPr>
        <w:t>、企业</w:t>
      </w:r>
      <w:r>
        <w:rPr>
          <w:rFonts w:hint="eastAsia" w:ascii="仿宋_GB2312" w:hAnsi="仿宋" w:eastAsia="仿宋_GB2312"/>
          <w:sz w:val="32"/>
          <w:szCs w:val="32"/>
        </w:rPr>
        <w:t>牵头建设概念验证中心。申报主体或依托单位具有独立法人资格，在省内注册且正常经营满</w:t>
      </w:r>
      <w:r>
        <w:rPr>
          <w:rFonts w:hint="eastAsia" w:ascii="仿宋_GB2312" w:hAnsi="仿宋_GB2312" w:eastAsia="仿宋_GB2312" w:cs="仿宋_GB2312"/>
          <w:sz w:val="32"/>
          <w:szCs w:val="32"/>
        </w:rPr>
        <w:t>3</w:t>
      </w:r>
      <w:r>
        <w:rPr>
          <w:rFonts w:hint="eastAsia" w:ascii="仿宋_GB2312" w:hAnsi="仿宋" w:eastAsia="仿宋_GB2312"/>
          <w:sz w:val="32"/>
          <w:szCs w:val="32"/>
        </w:rPr>
        <w:t>年。</w:t>
      </w:r>
    </w:p>
    <w:p>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 w:eastAsia="仿宋_GB2312"/>
          <w:sz w:val="32"/>
          <w:szCs w:val="32"/>
        </w:rPr>
        <w:t>具有原理验证、产品与场景体系验证、原型试制与技术可行性验证、用户验证等服务能力，具备完善的运营管理能力及适应开放共享要求的运行机制。建有对外服务的激励机制，建立完善的知识产权保护相关制度及措施。</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 w:eastAsia="仿宋_GB2312"/>
          <w:sz w:val="32"/>
          <w:szCs w:val="32"/>
        </w:rPr>
        <w:t>拥有概念验证服务相关资源，能够为概念验证项目提供供应链与渠道构建、产品成本控制与核算、投融资、市场分析、商业化支持等服务，开展概念验证服务所需的固定场地面积不</w:t>
      </w:r>
      <w:r>
        <w:rPr>
          <w:rFonts w:hint="eastAsia" w:ascii="仿宋_GB2312" w:hAnsi="仿宋_GB2312" w:eastAsia="仿宋_GB2312" w:cs="仿宋_GB2312"/>
          <w:sz w:val="32"/>
          <w:szCs w:val="32"/>
        </w:rPr>
        <w:t>少于500平方米，所需实验设备、检验检测等软硬件设施原值不低于1000万元。</w:t>
      </w:r>
    </w:p>
    <w:p>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专业化服务团队。概念验证中心负责人具有高级职称，从事科技成果转化相关工作3年（含）以上。建有对项目提供验证与试制、尽职调查、项目评估、财务和法律咨询等专业化服务团队，专职人员不少于10人，其中专职技术经理人不少于2人。建立</w:t>
      </w:r>
      <w:r>
        <w:rPr>
          <w:rFonts w:hint="eastAsia" w:ascii="仿宋_GB2312" w:hAnsi="仿宋_GB2312" w:eastAsia="仿宋_GB2312" w:cs="仿宋_GB2312"/>
          <w:sz w:val="32"/>
          <w:szCs w:val="32"/>
          <w:lang w:eastAsia="zh-CN"/>
        </w:rPr>
        <w:t>有</w:t>
      </w:r>
      <w:r>
        <w:rPr>
          <w:rFonts w:hint="eastAsia" w:ascii="仿宋_GB2312" w:hAnsi="仿宋_GB2312" w:eastAsia="仿宋_GB2312" w:cs="仿宋_GB2312"/>
          <w:sz w:val="32"/>
          <w:szCs w:val="32"/>
        </w:rPr>
        <w:t>学术界、产业</w:t>
      </w:r>
      <w:r>
        <w:rPr>
          <w:rFonts w:hint="eastAsia" w:ascii="仿宋_GB2312" w:hAnsi="仿宋" w:eastAsia="仿宋_GB2312"/>
          <w:sz w:val="32"/>
          <w:szCs w:val="32"/>
        </w:rPr>
        <w:t>界和投资界专家组成的顾问专家团队。</w:t>
      </w:r>
    </w:p>
    <w:p>
      <w:pPr>
        <w:adjustRightInd w:val="0"/>
        <w:snapToGrid w:val="0"/>
        <w:spacing w:line="560" w:lineRule="exact"/>
        <w:ind w:firstLine="640" w:firstLineChars="200"/>
        <w:rPr>
          <w:rFonts w:ascii="Times New Roman" w:hAnsi="Times New Roman" w:eastAsia="仿宋_GB2312" w:cs="Times New Roman"/>
          <w:color w:val="0000FF"/>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rPr>
        <w:t>具有一定规模资金来源，能够为概念验证项目匹配资金、场地、设备等配套条件。近两年开放性概念验证服务成功案例不少</w:t>
      </w:r>
      <w:r>
        <w:rPr>
          <w:rFonts w:hint="eastAsia" w:ascii="仿宋_GB2312" w:hAnsi="仿宋_GB2312" w:eastAsia="仿宋_GB2312" w:cs="仿宋_GB2312"/>
          <w:sz w:val="32"/>
          <w:szCs w:val="32"/>
        </w:rPr>
        <w:t>于10个</w:t>
      </w:r>
      <w:r>
        <w:rPr>
          <w:rFonts w:hint="eastAsia" w:ascii="仿宋_GB2312" w:hAnsi="仿宋_GB2312" w:eastAsia="仿宋_GB2312" w:cs="仿宋_GB2312"/>
          <w:sz w:val="32"/>
          <w:szCs w:val="32"/>
          <w:lang w:eastAsia="zh-CN"/>
        </w:rPr>
        <w:t>，概念验证项目收入不低于主营业务收入的</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w:t>
      </w:r>
      <w:r>
        <w:rPr>
          <w:rFonts w:hint="eastAsia" w:ascii="仿宋_GB2312" w:hAnsi="仿宋_GB2312" w:eastAsia="仿宋_GB2312" w:cs="仿宋_GB2312"/>
          <w:color w:val="0000FF"/>
          <w:sz w:val="32"/>
          <w:szCs w:val="32"/>
        </w:rPr>
        <w:t xml:space="preserve"> </w:t>
      </w:r>
    </w:p>
    <w:p>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rPr>
        <w:t>具有规范的概念验证服务流程及</w:t>
      </w:r>
      <w:r>
        <w:rPr>
          <w:rFonts w:hint="eastAsia" w:ascii="仿宋_GB2312" w:hAnsi="仿宋" w:eastAsia="仿宋_GB2312"/>
          <w:sz w:val="32"/>
          <w:szCs w:val="32"/>
        </w:rPr>
        <w:t>商业模式，知识产权和商业秘密保护制度健全。符合国家环保、消防、安全生产等要求，近三年内未发生司法、行政机关认定的严重违法失信行为。</w:t>
      </w:r>
    </w:p>
    <w:p>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楷体" w:hAnsi="楷体" w:eastAsia="楷体" w:cs="楷体"/>
          <w:sz w:val="32"/>
          <w:szCs w:val="32"/>
        </w:rPr>
        <w:t>（二）中试基地。</w:t>
      </w:r>
      <w:r>
        <w:rPr>
          <w:rFonts w:hint="eastAsia" w:ascii="仿宋_GB2312" w:hAnsi="仿宋" w:eastAsia="仿宋_GB2312"/>
          <w:sz w:val="32"/>
          <w:szCs w:val="32"/>
        </w:rPr>
        <w:t>支持</w:t>
      </w:r>
      <w:r>
        <w:rPr>
          <w:rFonts w:hint="eastAsia" w:ascii="仿宋_GB2312" w:hAnsi="仿宋" w:eastAsia="仿宋_GB2312"/>
          <w:color w:val="auto"/>
          <w:sz w:val="32"/>
          <w:szCs w:val="32"/>
        </w:rPr>
        <w:t>科技领军</w:t>
      </w:r>
      <w:r>
        <w:rPr>
          <w:rFonts w:hint="eastAsia" w:ascii="仿宋_GB2312" w:hAnsi="仿宋" w:eastAsia="仿宋_GB2312"/>
          <w:sz w:val="32"/>
          <w:szCs w:val="32"/>
        </w:rPr>
        <w:t>企业牵头建设中试基地。申报主体或依托单位具有独立法人资格，在省内注册</w:t>
      </w:r>
      <w:r>
        <w:rPr>
          <w:rFonts w:hint="default" w:ascii="Times New Roman" w:hAnsi="Times New Roman" w:eastAsia="仿宋_GB2312" w:cs="Times New Roman"/>
          <w:sz w:val="32"/>
          <w:szCs w:val="32"/>
        </w:rPr>
        <w:t>且正常经营满</w:t>
      </w:r>
      <w:r>
        <w:rPr>
          <w:rFonts w:hint="eastAsia" w:ascii="仿宋_GB2312" w:hAnsi="仿宋_GB2312" w:eastAsia="仿宋_GB2312" w:cs="仿宋_GB2312"/>
          <w:sz w:val="32"/>
          <w:szCs w:val="32"/>
        </w:rPr>
        <w:t>3</w:t>
      </w:r>
      <w:r>
        <w:rPr>
          <w:rFonts w:hint="default" w:ascii="Times New Roman" w:hAnsi="Times New Roman" w:eastAsia="仿宋_GB2312" w:cs="Times New Roman"/>
          <w:sz w:val="32"/>
          <w:szCs w:val="32"/>
        </w:rPr>
        <w:t>年。</w:t>
      </w:r>
    </w:p>
    <w:p>
      <w:pPr>
        <w:adjustRightInd w:val="0"/>
        <w:snapToGrid w:val="0"/>
        <w:spacing w:line="560" w:lineRule="exact"/>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lang w:val="en-US" w:eastAsia="zh-CN"/>
        </w:rPr>
        <w:t>1.</w:t>
      </w:r>
      <w:r>
        <w:rPr>
          <w:rFonts w:hint="default" w:ascii="Times New Roman" w:hAnsi="Times New Roman" w:eastAsia="仿宋_GB2312" w:cs="Times New Roman"/>
          <w:sz w:val="32"/>
          <w:szCs w:val="32"/>
        </w:rPr>
        <w:t>具有相对集中的研究方向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在本领域的研究实力和水平在国内领先</w:t>
      </w:r>
      <w:r>
        <w:rPr>
          <w:rFonts w:hint="default" w:ascii="Times New Roman" w:hAnsi="Times New Roman" w:eastAsia="仿宋_GB2312" w:cs="Times New Roman"/>
          <w:sz w:val="32"/>
          <w:szCs w:val="32"/>
        </w:rPr>
        <w:t>，符合国家及我省产业发展战略和方向，特色优势明显，具有科学合理的组织架构和规范的管理运行制度，具备承担国家、省级重大科研任务的能力。</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rPr>
        <w:t>拥有中试服务相关资源，具备专业的中试生产线设备，拥有能够提供数据模拟、工艺改进、样品试制、产品示范等中试线，开展中试服务所需的固定场地面积不少于</w:t>
      </w:r>
      <w:r>
        <w:rPr>
          <w:rFonts w:hint="eastAsia" w:ascii="仿宋_GB2312" w:hAnsi="仿宋_GB2312" w:eastAsia="仿宋_GB2312" w:cs="仿宋_GB2312"/>
          <w:sz w:val="32"/>
          <w:szCs w:val="32"/>
        </w:rPr>
        <w:t>1000平方米，必要的通用计量、检验检测、实验仪器、中试生产线等设备及专用软件，设备原值</w:t>
      </w:r>
      <w:r>
        <w:rPr>
          <w:rFonts w:hint="eastAsia" w:ascii="仿宋_GB2312" w:hAnsi="仿宋_GB2312" w:eastAsia="仿宋_GB2312" w:cs="仿宋_GB2312"/>
          <w:sz w:val="32"/>
          <w:szCs w:val="32"/>
          <w:lang w:eastAsia="zh-CN"/>
        </w:rPr>
        <w:t>不少于</w:t>
      </w:r>
      <w:r>
        <w:rPr>
          <w:rFonts w:hint="eastAsia" w:ascii="仿宋_GB2312" w:hAnsi="仿宋_GB2312" w:eastAsia="仿宋_GB2312" w:cs="仿宋_GB2312"/>
          <w:sz w:val="32"/>
          <w:szCs w:val="32"/>
        </w:rPr>
        <w:t>1000万元。</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rPr>
        <w:t>具有较高水平的管理团队和结构合理</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专业技术队伍。中试基地负责人应具有高级职称，在本领域研发能力强、技术水平高、工程化实践经验丰富且从事科技成果转化相关工</w:t>
      </w:r>
      <w:r>
        <w:rPr>
          <w:rFonts w:hint="eastAsia" w:ascii="仿宋_GB2312" w:hAnsi="仿宋_GB2312" w:eastAsia="仿宋_GB2312" w:cs="仿宋_GB2312"/>
          <w:sz w:val="32"/>
          <w:szCs w:val="32"/>
        </w:rPr>
        <w:t>作3年（含）以上。拥有组织制定科学合理的中试熟化方案、工艺规程及控制生产质量的固定研发团队。专职人员不少于10人，</w:t>
      </w:r>
      <w:r>
        <w:rPr>
          <w:rFonts w:hint="eastAsia" w:ascii="仿宋_GB2312" w:hAnsi="仿宋_GB2312" w:eastAsia="仿宋_GB2312" w:cs="仿宋_GB2312"/>
          <w:sz w:val="32"/>
          <w:szCs w:val="32"/>
          <w:lang w:eastAsia="zh-CN"/>
        </w:rPr>
        <w:t>具有本科及以上学历或中级及以上职称的技术人员占总人数的</w:t>
      </w:r>
      <w:r>
        <w:rPr>
          <w:rFonts w:hint="eastAsia" w:ascii="仿宋_GB2312" w:hAnsi="仿宋_GB2312" w:eastAsia="仿宋_GB2312" w:cs="仿宋_GB2312"/>
          <w:sz w:val="32"/>
          <w:szCs w:val="32"/>
          <w:lang w:val="en-US" w:eastAsia="zh-CN"/>
        </w:rPr>
        <w:t>60%以上</w:t>
      </w:r>
      <w:r>
        <w:rPr>
          <w:rFonts w:hint="eastAsia" w:ascii="仿宋_GB2312" w:hAnsi="仿宋_GB2312" w:eastAsia="仿宋_GB2312" w:cs="仿宋_GB2312"/>
          <w:sz w:val="32"/>
          <w:szCs w:val="32"/>
        </w:rPr>
        <w:t>。</w:t>
      </w:r>
    </w:p>
    <w:p>
      <w:pPr>
        <w:adjustRightInd w:val="0"/>
        <w:snapToGrid w:val="0"/>
        <w:spacing w:line="560" w:lineRule="exact"/>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近</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年开放性中试服务成功案例不少于10个或中试服务收入不少于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00万元</w:t>
      </w:r>
      <w:r>
        <w:rPr>
          <w:rFonts w:hint="eastAsia" w:ascii="仿宋_GB2312" w:hAnsi="仿宋_GB2312" w:eastAsia="仿宋_GB2312" w:cs="仿宋_GB2312"/>
          <w:sz w:val="32"/>
          <w:szCs w:val="32"/>
          <w:lang w:eastAsia="zh-CN"/>
        </w:rPr>
        <w:t>，中试服务收入不低于主营业务收入的</w:t>
      </w:r>
      <w:r>
        <w:rPr>
          <w:rFonts w:hint="eastAsia" w:ascii="仿宋_GB2312" w:hAnsi="仿宋_GB2312" w:eastAsia="仿宋_GB2312" w:cs="仿宋_GB2312"/>
          <w:sz w:val="32"/>
          <w:szCs w:val="32"/>
          <w:lang w:val="en-US" w:eastAsia="zh-CN"/>
        </w:rPr>
        <w:t>30%。</w:t>
      </w:r>
    </w:p>
    <w:p>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rPr>
        <w:t>内部管理规范，运营机制高效。有明晰的对外中试服务清单及收费标准，</w:t>
      </w:r>
      <w:r>
        <w:rPr>
          <w:rFonts w:hint="eastAsia" w:ascii="Times New Roman" w:hAnsi="Times New Roman" w:eastAsia="仿宋_GB2312" w:cs="Times New Roman"/>
          <w:sz w:val="32"/>
          <w:szCs w:val="32"/>
          <w:lang w:eastAsia="zh-CN"/>
        </w:rPr>
        <w:t>具备必须的安全、环保设施装备。有保护入驻中试基地小试产品知识产权和商业秘密的措施及制度。</w:t>
      </w:r>
      <w:r>
        <w:rPr>
          <w:rFonts w:hint="default" w:ascii="Times New Roman" w:hAnsi="Times New Roman" w:eastAsia="仿宋_GB2312" w:cs="Times New Roman"/>
          <w:sz w:val="32"/>
          <w:szCs w:val="32"/>
        </w:rPr>
        <w:t>近三年内未发生司法、行政机关认定的严重违法失信行为。</w:t>
      </w:r>
    </w:p>
    <w:p>
      <w:pPr>
        <w:pStyle w:val="2"/>
        <w:adjustRightInd w:val="0"/>
        <w:snapToGrid w:val="0"/>
        <w:spacing w:before="0" w:after="0" w:line="560" w:lineRule="exact"/>
        <w:ind w:firstLine="640" w:firstLineChars="200"/>
        <w:rPr>
          <w:rFonts w:ascii="黑体" w:hAnsi="黑体"/>
          <w:sz w:val="32"/>
          <w:szCs w:val="32"/>
        </w:rPr>
      </w:pPr>
      <w:r>
        <w:rPr>
          <w:rFonts w:hint="eastAsia" w:ascii="黑体" w:hAnsi="黑体" w:cs="黑体"/>
          <w:b w:val="0"/>
          <w:bCs/>
          <w:sz w:val="32"/>
          <w:szCs w:val="32"/>
        </w:rPr>
        <w:t>四、申报程序</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sz w:val="32"/>
          <w:szCs w:val="32"/>
        </w:rPr>
        <w:t>（一）组织申报。</w:t>
      </w:r>
      <w:r>
        <w:rPr>
          <w:rFonts w:hint="eastAsia" w:ascii="仿宋_GB2312" w:hAnsi="仿宋" w:eastAsia="仿宋_GB2312"/>
          <w:sz w:val="32"/>
          <w:szCs w:val="32"/>
        </w:rPr>
        <w:t>概念验证中心和中试基地建设采取自上而下布局和自主申报相结合的方式实施。省科技厅指导有条件的单位开展申报，申报单位按要求提交相关申报材料，各</w:t>
      </w:r>
      <w:r>
        <w:rPr>
          <w:rFonts w:hint="eastAsia" w:ascii="仿宋_GB2312" w:hAnsi="仿宋" w:eastAsia="仿宋_GB2312"/>
          <w:sz w:val="32"/>
          <w:szCs w:val="32"/>
          <w:lang w:eastAsia="zh-CN"/>
        </w:rPr>
        <w:t>地</w:t>
      </w:r>
      <w:r>
        <w:rPr>
          <w:rFonts w:hint="eastAsia" w:ascii="仿宋_GB2312" w:hAnsi="仿宋" w:eastAsia="仿宋_GB2312"/>
          <w:sz w:val="32"/>
          <w:szCs w:val="32"/>
        </w:rPr>
        <w:t>科技主管部门</w:t>
      </w:r>
      <w:r>
        <w:rPr>
          <w:rFonts w:ascii="仿宋_GB2312" w:hAnsi="仿宋" w:eastAsia="仿宋_GB2312"/>
          <w:sz w:val="32"/>
          <w:szCs w:val="32"/>
        </w:rPr>
        <w:t>对申报材料的真实性、有效性进行审核，必要时进行现场</w:t>
      </w:r>
      <w:r>
        <w:rPr>
          <w:rFonts w:hint="eastAsia" w:ascii="仿宋_GB2312" w:hAnsi="仿宋" w:eastAsia="仿宋_GB2312"/>
          <w:sz w:val="32"/>
          <w:szCs w:val="32"/>
        </w:rPr>
        <w:t>考察</w:t>
      </w:r>
      <w:r>
        <w:rPr>
          <w:rFonts w:ascii="仿宋_GB2312" w:hAnsi="仿宋" w:eastAsia="仿宋_GB2312"/>
          <w:sz w:val="32"/>
          <w:szCs w:val="32"/>
        </w:rPr>
        <w:t>，按程序向省科技厅提交推荐建议名单。</w:t>
      </w:r>
      <w:r>
        <w:rPr>
          <w:rFonts w:hint="eastAsia" w:ascii="仿宋_GB2312" w:hAnsi="仿宋" w:eastAsia="仿宋_GB2312"/>
          <w:sz w:val="32"/>
          <w:szCs w:val="32"/>
        </w:rPr>
        <w:t>原则上概念验证中心和中试基地不得同时申报。</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sz w:val="32"/>
          <w:szCs w:val="32"/>
        </w:rPr>
        <w:t>（二）评审论证。</w:t>
      </w:r>
      <w:r>
        <w:rPr>
          <w:rFonts w:hint="eastAsia" w:ascii="仿宋_GB2312" w:hAnsi="仿宋" w:eastAsia="仿宋_GB2312"/>
          <w:sz w:val="32"/>
          <w:szCs w:val="32"/>
        </w:rPr>
        <w:t>省科技厅对申报单位提交的申报材料进行形式审</w:t>
      </w:r>
      <w:r>
        <w:rPr>
          <w:rFonts w:hint="eastAsia" w:ascii="仿宋_GB2312" w:hAnsi="仿宋" w:eastAsia="仿宋_GB2312"/>
          <w:sz w:val="32"/>
          <w:szCs w:val="32"/>
          <w:lang w:eastAsia="zh-CN"/>
        </w:rPr>
        <w:t>查</w:t>
      </w:r>
      <w:r>
        <w:rPr>
          <w:rFonts w:hint="eastAsia" w:ascii="仿宋_GB2312" w:hAnsi="仿宋" w:eastAsia="仿宋_GB2312"/>
          <w:sz w:val="32"/>
          <w:szCs w:val="32"/>
        </w:rPr>
        <w:t>，组织技术专家、管理专家对申报的概念验证中心和中试基地进行评估论证和现场考察，申报单位根据论证意见修改完善建设方案。</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sz w:val="32"/>
          <w:szCs w:val="32"/>
        </w:rPr>
        <w:t>（三）择优布局。</w:t>
      </w:r>
      <w:r>
        <w:rPr>
          <w:rFonts w:hint="eastAsia" w:ascii="仿宋_GB2312" w:hAnsi="仿宋" w:eastAsia="仿宋_GB2312"/>
          <w:sz w:val="32"/>
          <w:szCs w:val="32"/>
        </w:rPr>
        <w:t>评审通过的单位将向社会公示</w:t>
      </w:r>
      <w:r>
        <w:rPr>
          <w:rFonts w:hint="eastAsia" w:ascii="仿宋_GB2312" w:hAnsi="仿宋_GB2312" w:eastAsia="仿宋_GB2312" w:cs="仿宋_GB2312"/>
          <w:sz w:val="32"/>
          <w:szCs w:val="32"/>
        </w:rPr>
        <w:t>5</w:t>
      </w:r>
      <w:r>
        <w:rPr>
          <w:rFonts w:hint="eastAsia" w:ascii="仿宋_GB2312" w:hAnsi="仿宋" w:eastAsia="仿宋_GB2312"/>
          <w:sz w:val="32"/>
          <w:szCs w:val="32"/>
        </w:rPr>
        <w:t>个工作日，接受公众监督和反馈。公示无异议后，省科技厅将正式发文认定，</w:t>
      </w:r>
      <w:r>
        <w:rPr>
          <w:rFonts w:hint="eastAsia" w:ascii="仿宋_GB2312" w:hAnsi="仿宋" w:eastAsia="仿宋_GB2312" w:cs="仿宋"/>
          <w:sz w:val="32"/>
          <w:szCs w:val="32"/>
        </w:rPr>
        <w:t>统一命名为“陕西省（</w:t>
      </w:r>
      <w:r>
        <w:rPr>
          <w:rFonts w:hint="eastAsia" w:ascii="仿宋_GB2312" w:hAnsi="仿宋_GB2312" w:eastAsia="仿宋_GB2312" w:cs="仿宋_GB2312"/>
          <w:sz w:val="32"/>
          <w:szCs w:val="32"/>
        </w:rPr>
        <w:t>XX</w:t>
      </w:r>
      <w:r>
        <w:rPr>
          <w:rFonts w:hint="eastAsia" w:ascii="仿宋_GB2312" w:hAnsi="仿宋" w:eastAsia="仿宋_GB2312" w:cs="仿宋"/>
          <w:sz w:val="32"/>
          <w:szCs w:val="32"/>
        </w:rPr>
        <w:t>）概念验证中心”或“陕西省（</w:t>
      </w:r>
      <w:r>
        <w:rPr>
          <w:rFonts w:hint="eastAsia" w:ascii="仿宋_GB2312" w:hAnsi="仿宋_GB2312" w:eastAsia="仿宋_GB2312" w:cs="仿宋_GB2312"/>
          <w:sz w:val="32"/>
          <w:szCs w:val="32"/>
        </w:rPr>
        <w:t>XX</w:t>
      </w:r>
      <w:r>
        <w:rPr>
          <w:rFonts w:hint="eastAsia" w:ascii="仿宋_GB2312" w:hAnsi="仿宋" w:eastAsia="仿宋_GB2312" w:cs="仿宋"/>
          <w:sz w:val="32"/>
          <w:szCs w:val="32"/>
        </w:rPr>
        <w:t>产业领域）中试基地”，</w:t>
      </w:r>
      <w:r>
        <w:rPr>
          <w:rFonts w:ascii="仿宋_GB2312" w:hAnsi="仿宋" w:eastAsia="仿宋_GB2312"/>
          <w:sz w:val="32"/>
          <w:szCs w:val="32"/>
        </w:rPr>
        <w:t>建设期限</w:t>
      </w:r>
      <w:r>
        <w:rPr>
          <w:rFonts w:hint="eastAsia" w:ascii="仿宋_GB2312" w:hAnsi="仿宋" w:eastAsia="仿宋_GB2312"/>
          <w:sz w:val="32"/>
          <w:szCs w:val="32"/>
        </w:rPr>
        <w:t>为</w:t>
      </w:r>
      <w:r>
        <w:rPr>
          <w:rFonts w:hint="eastAsia" w:ascii="仿宋_GB2312" w:hAnsi="仿宋_GB2312" w:eastAsia="仿宋_GB2312" w:cs="仿宋_GB2312"/>
          <w:sz w:val="32"/>
          <w:szCs w:val="32"/>
        </w:rPr>
        <w:t>3</w:t>
      </w:r>
      <w:r>
        <w:rPr>
          <w:rFonts w:ascii="Times New Roman" w:hAnsi="Times New Roman" w:eastAsia="仿宋_GB2312" w:cs="Times New Roman"/>
          <w:sz w:val="32"/>
          <w:szCs w:val="32"/>
        </w:rPr>
        <w:t>年</w:t>
      </w:r>
      <w:r>
        <w:rPr>
          <w:rFonts w:ascii="仿宋_GB2312" w:hAnsi="仿宋" w:eastAsia="仿宋_GB2312"/>
          <w:sz w:val="32"/>
          <w:szCs w:val="32"/>
        </w:rPr>
        <w:t>。</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sz w:val="32"/>
          <w:szCs w:val="32"/>
        </w:rPr>
        <w:t>（四）</w:t>
      </w:r>
      <w:r>
        <w:rPr>
          <w:rFonts w:hint="eastAsia" w:ascii="楷体" w:hAnsi="楷体" w:eastAsia="楷体" w:cs="楷体"/>
          <w:sz w:val="32"/>
          <w:szCs w:val="32"/>
          <w:lang w:eastAsia="zh-CN"/>
        </w:rPr>
        <w:t>政策</w:t>
      </w:r>
      <w:r>
        <w:rPr>
          <w:rFonts w:hint="eastAsia" w:ascii="楷体" w:hAnsi="楷体" w:eastAsia="楷体" w:cs="楷体"/>
          <w:sz w:val="32"/>
          <w:szCs w:val="32"/>
        </w:rPr>
        <w:t>支持。</w:t>
      </w:r>
      <w:r>
        <w:rPr>
          <w:rFonts w:hint="eastAsia" w:ascii="仿宋_GB2312" w:hAnsi="仿宋" w:eastAsia="仿宋_GB2312"/>
          <w:sz w:val="32"/>
          <w:szCs w:val="32"/>
        </w:rPr>
        <w:t>对新认定的概念验证中心和中试基地，</w:t>
      </w:r>
      <w:r>
        <w:rPr>
          <w:rFonts w:hint="default" w:ascii="Times New Roman" w:hAnsi="Times New Roman" w:eastAsia="仿宋_GB2312" w:cs="Times New Roman"/>
          <w:sz w:val="32"/>
          <w:szCs w:val="32"/>
        </w:rPr>
        <w:t>分别给予最</w:t>
      </w:r>
      <w:r>
        <w:rPr>
          <w:rFonts w:hint="eastAsia" w:ascii="仿宋_GB2312" w:hAnsi="仿宋_GB2312" w:eastAsia="仿宋_GB2312" w:cs="仿宋_GB2312"/>
          <w:sz w:val="32"/>
          <w:szCs w:val="32"/>
        </w:rPr>
        <w:t>高200万元和500</w:t>
      </w:r>
      <w:r>
        <w:rPr>
          <w:rFonts w:hint="default" w:ascii="Times New Roman" w:hAnsi="Times New Roman" w:eastAsia="仿宋_GB2312" w:cs="Times New Roman"/>
          <w:sz w:val="32"/>
          <w:szCs w:val="32"/>
        </w:rPr>
        <w:t>万元的</w:t>
      </w:r>
      <w:r>
        <w:rPr>
          <w:rFonts w:hint="eastAsia" w:ascii="Times New Roman" w:hAnsi="Times New Roman" w:eastAsia="仿宋_GB2312" w:cs="Times New Roman"/>
          <w:sz w:val="32"/>
          <w:szCs w:val="32"/>
        </w:rPr>
        <w:t>资金支持，</w:t>
      </w:r>
      <w:r>
        <w:rPr>
          <w:rFonts w:hint="default" w:ascii="Times New Roman" w:hAnsi="Times New Roman" w:eastAsia="仿宋_GB2312" w:cs="Times New Roman"/>
          <w:sz w:val="32"/>
          <w:szCs w:val="32"/>
        </w:rPr>
        <w:t>主要用于概念验证、中</w:t>
      </w:r>
      <w:r>
        <w:rPr>
          <w:rFonts w:hint="eastAsia" w:ascii="仿宋_GB2312" w:hAnsi="仿宋" w:eastAsia="仿宋_GB2312"/>
          <w:sz w:val="32"/>
          <w:szCs w:val="32"/>
        </w:rPr>
        <w:t>试熟化、产品研发、人才培养和工艺提升等科技创新活动。</w:t>
      </w:r>
    </w:p>
    <w:p>
      <w:pPr>
        <w:pStyle w:val="2"/>
        <w:adjustRightInd w:val="0"/>
        <w:snapToGrid w:val="0"/>
        <w:spacing w:before="0" w:after="0" w:line="560" w:lineRule="exact"/>
        <w:ind w:firstLine="640" w:firstLineChars="200"/>
        <w:rPr>
          <w:rFonts w:ascii="黑体" w:hAnsi="黑体" w:eastAsia="黑体" w:cs="楷体_GB2312"/>
          <w:b w:val="0"/>
          <w:bCs w:val="0"/>
          <w:sz w:val="32"/>
          <w:szCs w:val="32"/>
        </w:rPr>
      </w:pPr>
      <w:r>
        <w:rPr>
          <w:rFonts w:hint="eastAsia" w:ascii="黑体" w:hAnsi="黑体" w:cs="楷体_GB2312"/>
          <w:b w:val="0"/>
          <w:sz w:val="32"/>
          <w:szCs w:val="32"/>
        </w:rPr>
        <w:t>五、监督管理</w:t>
      </w:r>
    </w:p>
    <w:p>
      <w:pPr>
        <w:pStyle w:val="10"/>
        <w:shd w:val="clear" w:color="auto" w:fill="FFFFFF"/>
        <w:adjustRightInd w:val="0"/>
        <w:snapToGrid w:val="0"/>
        <w:spacing w:before="0" w:beforeAutospacing="0" w:after="0" w:afterAutospacing="0" w:line="560" w:lineRule="exact"/>
        <w:ind w:firstLine="640" w:firstLineChars="200"/>
        <w:jc w:val="both"/>
        <w:rPr>
          <w:rFonts w:hint="eastAsia" w:ascii="仿宋_GB2312" w:hAnsi="仿宋" w:eastAsia="仿宋_GB2312" w:cstheme="minorBidi"/>
          <w:kern w:val="2"/>
          <w:sz w:val="32"/>
          <w:szCs w:val="32"/>
        </w:rPr>
      </w:pPr>
      <w:r>
        <w:rPr>
          <w:rFonts w:hint="eastAsia" w:ascii="楷体" w:hAnsi="楷体" w:eastAsia="楷体" w:cs="楷体"/>
          <w:kern w:val="2"/>
          <w:sz w:val="32"/>
          <w:szCs w:val="32"/>
          <w:lang w:val="en-US" w:eastAsia="zh-CN" w:bidi="ar-SA"/>
        </w:rPr>
        <w:t>（一）责任落实。</w:t>
      </w:r>
      <w:r>
        <w:rPr>
          <w:rFonts w:ascii="仿宋_GB2312" w:hAnsi="仿宋" w:eastAsia="仿宋_GB2312"/>
          <w:sz w:val="32"/>
          <w:szCs w:val="32"/>
        </w:rPr>
        <w:t>牵头建设单位负责审定概念验证中心</w:t>
      </w:r>
      <w:r>
        <w:rPr>
          <w:rFonts w:hint="eastAsia" w:ascii="仿宋_GB2312" w:hAnsi="仿宋" w:eastAsia="仿宋_GB2312"/>
          <w:sz w:val="32"/>
          <w:szCs w:val="32"/>
        </w:rPr>
        <w:t>和中试基地</w:t>
      </w:r>
      <w:r>
        <w:rPr>
          <w:rFonts w:ascii="仿宋_GB2312" w:hAnsi="仿宋" w:eastAsia="仿宋_GB2312"/>
          <w:sz w:val="32"/>
          <w:szCs w:val="32"/>
        </w:rPr>
        <w:t>建设方案，建立健全组织架构和运行机制，保障相关资源条件，</w:t>
      </w:r>
      <w:r>
        <w:rPr>
          <w:rFonts w:hint="eastAsia" w:ascii="仿宋_GB2312" w:hAnsi="仿宋" w:eastAsia="仿宋_GB2312"/>
          <w:sz w:val="32"/>
          <w:szCs w:val="32"/>
        </w:rPr>
        <w:t>负责落实建设、运营、安全、环保、保密等工作，</w:t>
      </w:r>
      <w:r>
        <w:rPr>
          <w:rFonts w:ascii="仿宋_GB2312" w:hAnsi="仿宋" w:eastAsia="仿宋_GB2312"/>
          <w:sz w:val="32"/>
          <w:szCs w:val="32"/>
        </w:rPr>
        <w:t>支撑概念验证中心</w:t>
      </w:r>
      <w:r>
        <w:rPr>
          <w:rFonts w:hint="eastAsia" w:ascii="仿宋_GB2312" w:hAnsi="仿宋" w:eastAsia="仿宋_GB2312"/>
          <w:sz w:val="32"/>
          <w:szCs w:val="32"/>
        </w:rPr>
        <w:t>和中试基地</w:t>
      </w:r>
      <w:r>
        <w:rPr>
          <w:rFonts w:ascii="仿宋_GB2312" w:hAnsi="仿宋" w:eastAsia="仿宋_GB2312"/>
          <w:sz w:val="32"/>
          <w:szCs w:val="32"/>
        </w:rPr>
        <w:t>高质量发展</w:t>
      </w:r>
      <w:r>
        <w:rPr>
          <w:rFonts w:hint="eastAsia" w:ascii="仿宋_GB2312" w:hAnsi="仿宋" w:eastAsia="仿宋_GB2312"/>
          <w:sz w:val="32"/>
          <w:szCs w:val="32"/>
        </w:rPr>
        <w:t>。发生涉及认定基本条件的重大事项变更，</w:t>
      </w:r>
      <w:r>
        <w:rPr>
          <w:rFonts w:hint="eastAsia" w:ascii="仿宋_GB2312" w:hAnsi="仿宋" w:eastAsia="仿宋_GB2312"/>
          <w:sz w:val="32"/>
          <w:szCs w:val="32"/>
          <w:lang w:eastAsia="zh-CN"/>
        </w:rPr>
        <w:t>须</w:t>
      </w:r>
      <w:r>
        <w:rPr>
          <w:rFonts w:hint="eastAsia" w:ascii="仿宋_GB2312" w:hAnsi="仿宋" w:eastAsia="仿宋_GB2312"/>
          <w:sz w:val="32"/>
          <w:szCs w:val="32"/>
        </w:rPr>
        <w:t xml:space="preserve">及时报告省科技厅。 </w:t>
      </w:r>
    </w:p>
    <w:p>
      <w:pPr>
        <w:pStyle w:val="10"/>
        <w:shd w:val="clear" w:color="auto" w:fill="FFFFFF"/>
        <w:adjustRightInd w:val="0"/>
        <w:snapToGrid w:val="0"/>
        <w:spacing w:before="0" w:beforeAutospacing="0" w:after="0" w:afterAutospacing="0" w:line="560" w:lineRule="exact"/>
        <w:ind w:firstLine="640" w:firstLineChars="200"/>
        <w:jc w:val="both"/>
        <w:rPr>
          <w:rFonts w:ascii="仿宋_GB2312" w:hAnsi="仿宋" w:eastAsia="仿宋_GB2312"/>
          <w:sz w:val="32"/>
          <w:szCs w:val="32"/>
        </w:rPr>
      </w:pPr>
      <w:r>
        <w:rPr>
          <w:rFonts w:hint="eastAsia" w:ascii="楷体" w:hAnsi="楷体" w:eastAsia="楷体" w:cs="楷体"/>
          <w:b w:val="0"/>
          <w:bCs/>
          <w:sz w:val="32"/>
          <w:szCs w:val="32"/>
        </w:rPr>
        <w:t>（二）绩效评估。</w:t>
      </w:r>
      <w:r>
        <w:rPr>
          <w:rFonts w:hint="eastAsia" w:ascii="仿宋_GB2312" w:hAnsi="仿宋" w:eastAsia="仿宋_GB2312"/>
          <w:sz w:val="32"/>
          <w:szCs w:val="32"/>
        </w:rPr>
        <w:t>概念验证中心、中试基地实行年度报告制度。省科技厅每</w:t>
      </w:r>
      <w:r>
        <w:rPr>
          <w:rFonts w:hint="eastAsia" w:ascii="仿宋_GB2312" w:hAnsi="仿宋" w:eastAsia="仿宋_GB2312"/>
          <w:sz w:val="32"/>
          <w:szCs w:val="32"/>
          <w:lang w:eastAsia="zh-CN"/>
        </w:rPr>
        <w:t>两</w:t>
      </w:r>
      <w:r>
        <w:rPr>
          <w:rFonts w:hint="eastAsia" w:ascii="仿宋_GB2312" w:hAnsi="仿宋" w:eastAsia="仿宋_GB2312"/>
          <w:sz w:val="32"/>
          <w:szCs w:val="32"/>
        </w:rPr>
        <w:t>年组织第三方机构对概念验证中心和中试基地的条件建设、成果转化、开放共享、行业带动、产学研合作、人才队伍建设、经济社会效益等情况进行综合评估。评估结果分为“优秀、合格、不合格”。对评估“优秀”的</w:t>
      </w:r>
      <w:r>
        <w:rPr>
          <w:rFonts w:ascii="Times New Roman" w:hAnsi="Times New Roman" w:eastAsia="仿宋_GB2312" w:cs="Times New Roman"/>
          <w:sz w:val="32"/>
          <w:szCs w:val="32"/>
        </w:rPr>
        <w:t>概念验证中心和中试基地</w:t>
      </w:r>
      <w:r>
        <w:rPr>
          <w:rFonts w:hint="eastAsia" w:ascii="仿宋_GB2312" w:hAnsi="仿宋" w:eastAsia="仿宋_GB2312"/>
          <w:sz w:val="32"/>
          <w:szCs w:val="32"/>
        </w:rPr>
        <w:t>，</w:t>
      </w:r>
      <w:r>
        <w:rPr>
          <w:rFonts w:hint="eastAsia" w:ascii="Times New Roman" w:hAnsi="Times New Roman" w:eastAsia="仿宋_GB2312" w:cs="Times New Roman"/>
          <w:sz w:val="32"/>
          <w:szCs w:val="32"/>
        </w:rPr>
        <w:t>分别给予最高</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万元和</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00</w:t>
      </w:r>
      <w:r>
        <w:rPr>
          <w:rFonts w:hint="eastAsia" w:ascii="仿宋_GB2312" w:hAnsi="仿宋" w:eastAsia="仿宋_GB2312"/>
          <w:sz w:val="32"/>
          <w:szCs w:val="32"/>
        </w:rPr>
        <w:t>万元的后补助。评估“不合格”的进行整改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一年</w:t>
      </w:r>
      <w:r>
        <w:rPr>
          <w:rFonts w:hint="eastAsia" w:ascii="仿宋_GB2312" w:hAnsi="仿宋" w:eastAsia="仿宋_GB2312"/>
          <w:sz w:val="32"/>
          <w:szCs w:val="32"/>
        </w:rPr>
        <w:t>后复评仍不合格的，取消认定资格。无故不参加评估的，按照“不合格”处理。</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b w:val="0"/>
          <w:bCs/>
          <w:kern w:val="0"/>
          <w:sz w:val="32"/>
          <w:szCs w:val="32"/>
          <w:lang w:val="en-US" w:eastAsia="zh-CN" w:bidi="ar-SA"/>
        </w:rPr>
        <w:t>（三）诚信监督。</w:t>
      </w:r>
      <w:r>
        <w:rPr>
          <w:rFonts w:hint="eastAsia" w:ascii="仿宋_GB2312" w:hAnsi="仿宋" w:eastAsia="仿宋_GB2312" w:cstheme="minorBidi"/>
          <w:b w:val="0"/>
          <w:sz w:val="32"/>
          <w:szCs w:val="32"/>
        </w:rPr>
        <w:t>牵头单位</w:t>
      </w:r>
      <w:r>
        <w:rPr>
          <w:rFonts w:ascii="仿宋_GB2312" w:hAnsi="仿宋" w:eastAsia="仿宋_GB2312"/>
          <w:sz w:val="32"/>
          <w:szCs w:val="32"/>
        </w:rPr>
        <w:t>承担科研作风学风</w:t>
      </w:r>
      <w:r>
        <w:rPr>
          <w:rFonts w:hint="eastAsia" w:ascii="仿宋_GB2312" w:hAnsi="仿宋" w:eastAsia="仿宋_GB2312"/>
          <w:sz w:val="32"/>
          <w:szCs w:val="32"/>
        </w:rPr>
        <w:t>、</w:t>
      </w:r>
      <w:r>
        <w:rPr>
          <w:rFonts w:ascii="仿宋_GB2312" w:hAnsi="仿宋" w:eastAsia="仿宋_GB2312"/>
          <w:sz w:val="32"/>
          <w:szCs w:val="32"/>
        </w:rPr>
        <w:t>科研诚信</w:t>
      </w:r>
      <w:r>
        <w:rPr>
          <w:rFonts w:hint="eastAsia" w:ascii="仿宋_GB2312" w:hAnsi="仿宋" w:eastAsia="仿宋_GB2312"/>
          <w:sz w:val="32"/>
          <w:szCs w:val="32"/>
        </w:rPr>
        <w:t>和伦理</w:t>
      </w:r>
      <w:r>
        <w:rPr>
          <w:rFonts w:ascii="仿宋_GB2312" w:hAnsi="仿宋" w:eastAsia="仿宋_GB2312"/>
          <w:sz w:val="32"/>
          <w:szCs w:val="32"/>
        </w:rPr>
        <w:t>的主体责任</w:t>
      </w:r>
      <w:r>
        <w:rPr>
          <w:rFonts w:hint="eastAsia" w:ascii="仿宋_GB2312" w:hAnsi="仿宋" w:eastAsia="仿宋_GB2312"/>
          <w:sz w:val="32"/>
          <w:szCs w:val="32"/>
        </w:rPr>
        <w:t>，</w:t>
      </w:r>
      <w:r>
        <w:rPr>
          <w:rFonts w:hint="eastAsia" w:ascii="仿宋_GB2312" w:hAnsi="仿宋" w:eastAsia="仿宋_GB2312"/>
          <w:color w:val="auto"/>
          <w:sz w:val="32"/>
          <w:szCs w:val="32"/>
        </w:rPr>
        <w:t>对提供虚假材料或数据等严重失信行为的单位和个人，将采取</w:t>
      </w:r>
      <w:r>
        <w:rPr>
          <w:rFonts w:hint="eastAsia" w:ascii="仿宋_GB2312" w:hAnsi="仿宋" w:eastAsia="仿宋_GB2312"/>
          <w:sz w:val="32"/>
          <w:szCs w:val="32"/>
        </w:rPr>
        <w:t>停止拨款、追回资金、取消认定资格、纳入科研失信行为记录等措施予以处理</w:t>
      </w:r>
      <w:r>
        <w:rPr>
          <w:rFonts w:hint="eastAsia" w:ascii="仿宋_GB2312" w:hAnsi="仿宋" w:eastAsia="仿宋_GB2312" w:cs="Times New Roman"/>
          <w:sz w:val="32"/>
          <w:szCs w:val="32"/>
        </w:rPr>
        <w:t>。</w:t>
      </w:r>
    </w:p>
    <w:p>
      <w:pPr>
        <w:pStyle w:val="2"/>
        <w:adjustRightInd w:val="0"/>
        <w:snapToGrid w:val="0"/>
        <w:spacing w:before="0" w:after="0" w:line="560" w:lineRule="exact"/>
        <w:ind w:firstLine="640" w:firstLineChars="200"/>
        <w:rPr>
          <w:rFonts w:ascii="黑体" w:hAnsi="黑体" w:eastAsia="黑体" w:cs="楷体_GB2312"/>
          <w:b w:val="0"/>
          <w:bCs w:val="0"/>
          <w:sz w:val="32"/>
          <w:szCs w:val="32"/>
        </w:rPr>
      </w:pPr>
      <w:r>
        <w:rPr>
          <w:rFonts w:hint="eastAsia" w:ascii="黑体" w:hAnsi="黑体" w:cs="楷体_GB2312"/>
          <w:b w:val="0"/>
          <w:sz w:val="32"/>
          <w:szCs w:val="32"/>
        </w:rPr>
        <w:t>六</w:t>
      </w:r>
      <w:r>
        <w:rPr>
          <w:rStyle w:val="14"/>
          <w:b w:val="0"/>
          <w:sz w:val="32"/>
          <w:szCs w:val="32"/>
        </w:rPr>
        <w:t>、保障措施</w:t>
      </w:r>
    </w:p>
    <w:p>
      <w:pPr>
        <w:pStyle w:val="10"/>
        <w:shd w:val="clear" w:color="auto" w:fill="FFFFFF"/>
        <w:adjustRightInd w:val="0"/>
        <w:snapToGrid w:val="0"/>
        <w:spacing w:before="0" w:beforeAutospacing="0" w:after="0" w:afterAutospacing="0" w:line="560" w:lineRule="exact"/>
        <w:ind w:firstLine="640" w:firstLineChars="200"/>
        <w:jc w:val="both"/>
        <w:rPr>
          <w:rFonts w:ascii="仿宋_GB2312" w:hAnsi="仿宋" w:eastAsia="仿宋_GB2312" w:cstheme="minorBidi"/>
          <w:kern w:val="2"/>
          <w:sz w:val="32"/>
          <w:szCs w:val="32"/>
        </w:rPr>
      </w:pPr>
      <w:r>
        <w:rPr>
          <w:rFonts w:hint="eastAsia" w:ascii="楷体" w:hAnsi="楷体" w:eastAsia="楷体" w:cs="楷体"/>
          <w:b w:val="0"/>
          <w:bCs/>
          <w:sz w:val="32"/>
          <w:szCs w:val="32"/>
        </w:rPr>
        <w:t>（一）组织领导。</w:t>
      </w:r>
      <w:r>
        <w:rPr>
          <w:rFonts w:hint="eastAsia" w:ascii="仿宋_GB2312" w:hAnsi="仿宋" w:eastAsia="仿宋_GB2312" w:cs="仿宋"/>
          <w:sz w:val="32"/>
          <w:szCs w:val="32"/>
        </w:rPr>
        <w:t>将概念验证中心和中试基地纳入省级科技创新平台（基地）进行管理</w:t>
      </w:r>
      <w:r>
        <w:rPr>
          <w:rFonts w:hint="eastAsia" w:ascii="仿宋_GB2312" w:hAnsi="仿宋" w:eastAsia="仿宋_GB2312" w:cs="仿宋"/>
          <w:sz w:val="32"/>
          <w:szCs w:val="32"/>
          <w:lang w:eastAsia="zh-CN"/>
        </w:rPr>
        <w:t>。</w:t>
      </w:r>
      <w:r>
        <w:rPr>
          <w:rFonts w:hint="eastAsia" w:ascii="仿宋_GB2312" w:hAnsi="仿宋" w:eastAsia="仿宋_GB2312"/>
          <w:sz w:val="32"/>
          <w:szCs w:val="32"/>
        </w:rPr>
        <w:t>省科技厅负责全省概念验证中心、中试基地的规划布局、建设指导、审核批准、监督检查、绩效评价、认定管理，以及工作职能范围内的其他工作事项。各</w:t>
      </w:r>
      <w:r>
        <w:rPr>
          <w:rFonts w:hint="eastAsia" w:ascii="仿宋_GB2312" w:hAnsi="仿宋" w:eastAsia="仿宋_GB2312"/>
          <w:sz w:val="32"/>
          <w:szCs w:val="32"/>
          <w:lang w:eastAsia="zh-CN"/>
        </w:rPr>
        <w:t>地</w:t>
      </w:r>
      <w:r>
        <w:rPr>
          <w:rFonts w:hint="eastAsia" w:ascii="仿宋_GB2312" w:hAnsi="仿宋" w:eastAsia="仿宋_GB2312"/>
          <w:sz w:val="32"/>
          <w:szCs w:val="32"/>
        </w:rPr>
        <w:t>科技主管部门负责本区域概念验证中心、中试基地的培育建设、申报推荐、协调指导、政策落实、日常监管、绩效评估等工作</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对已获批建设的概念验证中心和中试基地给予相应的经费支持</w:t>
      </w:r>
      <w:r>
        <w:rPr>
          <w:rFonts w:hint="eastAsia" w:ascii="仿宋_GB2312" w:hAnsi="仿宋" w:eastAsia="仿宋_GB2312"/>
          <w:sz w:val="32"/>
          <w:szCs w:val="32"/>
        </w:rPr>
        <w:t>。</w:t>
      </w:r>
    </w:p>
    <w:p>
      <w:pPr>
        <w:adjustRightInd w:val="0"/>
        <w:snapToGrid w:val="0"/>
        <w:spacing w:line="560" w:lineRule="exact"/>
        <w:ind w:firstLine="640" w:firstLineChars="200"/>
        <w:rPr>
          <w:rFonts w:ascii="仿宋_GB2312" w:hAnsi="仿宋" w:eastAsia="仿宋_GB2312"/>
          <w:sz w:val="32"/>
          <w:szCs w:val="32"/>
        </w:rPr>
      </w:pPr>
      <w:r>
        <w:rPr>
          <w:rFonts w:hint="eastAsia" w:ascii="楷体" w:hAnsi="楷体" w:eastAsia="楷体" w:cs="楷体"/>
          <w:b w:val="0"/>
          <w:bCs/>
          <w:kern w:val="0"/>
          <w:sz w:val="32"/>
          <w:szCs w:val="32"/>
          <w:lang w:val="en-US" w:eastAsia="zh-CN" w:bidi="ar-SA"/>
        </w:rPr>
        <w:t>（二）政策协同。</w:t>
      </w:r>
      <w:r>
        <w:rPr>
          <w:rFonts w:hint="eastAsia" w:ascii="仿宋_GB2312" w:hAnsi="仿宋" w:eastAsia="仿宋_GB2312"/>
          <w:sz w:val="32"/>
          <w:szCs w:val="32"/>
        </w:rPr>
        <w:t>加强成果转化政策与基础研究、科技人才、创新平台、产业创新、科技金融、科技奖励等政策的协同，贯通实验室、概念验证、中试放大、产业化的创新链条体系。加强省、市、县及开发区的政策联动，形成政策合力，推进区域协同创新发展。</w:t>
      </w:r>
    </w:p>
    <w:p>
      <w:pPr>
        <w:pStyle w:val="10"/>
        <w:shd w:val="clear" w:color="auto" w:fill="FFFFFF"/>
        <w:adjustRightInd w:val="0"/>
        <w:snapToGrid w:val="0"/>
        <w:spacing w:before="0" w:beforeAutospacing="0" w:after="0" w:afterAutospacing="0" w:line="560" w:lineRule="exact"/>
        <w:ind w:firstLine="640" w:firstLineChars="200"/>
        <w:jc w:val="both"/>
        <w:rPr>
          <w:sz w:val="32"/>
          <w:szCs w:val="32"/>
        </w:rPr>
      </w:pPr>
      <w:r>
        <w:rPr>
          <w:rFonts w:hint="eastAsia" w:ascii="楷体" w:hAnsi="楷体" w:eastAsia="楷体" w:cs="楷体"/>
          <w:b w:val="0"/>
          <w:bCs/>
          <w:sz w:val="32"/>
          <w:szCs w:val="32"/>
        </w:rPr>
        <w:t>（三）宣传引导。</w:t>
      </w:r>
      <w:r>
        <w:rPr>
          <w:rFonts w:hint="eastAsia" w:ascii="仿宋_GB2312" w:hAnsi="仿宋" w:eastAsia="仿宋_GB2312" w:cstheme="minorBidi"/>
          <w:kern w:val="2"/>
          <w:sz w:val="32"/>
          <w:szCs w:val="32"/>
        </w:rPr>
        <w:t>加强概念验证中心和中试基地扶持政策的宣贯解读，定期</w:t>
      </w:r>
      <w:r>
        <w:rPr>
          <w:rFonts w:hint="eastAsia" w:ascii="仿宋_GB2312" w:hAnsi="仿宋" w:eastAsia="仿宋_GB2312"/>
          <w:sz w:val="32"/>
          <w:szCs w:val="32"/>
        </w:rPr>
        <w:t>举办专业技术论坛、开展展览展示和</w:t>
      </w:r>
      <w:r>
        <w:rPr>
          <w:rFonts w:hint="eastAsia" w:ascii="仿宋_GB2312" w:hAnsi="仿宋" w:eastAsia="仿宋_GB2312" w:cstheme="minorBidi"/>
          <w:kern w:val="2"/>
          <w:sz w:val="32"/>
          <w:szCs w:val="32"/>
        </w:rPr>
        <w:t>互动交流研讨，总结典型案例与经验做法，及时宣传建设工作的新进展、新经验、新模式。</w:t>
      </w: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Batang">
    <w:panose1 w:val="02030600000101010101"/>
    <w:charset w:val="81"/>
    <w:family w:val="auto"/>
    <w:pitch w:val="default"/>
    <w:sig w:usb0="B00002AF" w:usb1="69D77CFB" w:usb2="00000030" w:usb3="00000000" w:csb0="4008009F" w:csb1="DFD7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1695329"/>
    </w:sdtPr>
    <w:sdtContent>
      <w:p>
        <w:pPr>
          <w:pStyle w:val="8"/>
          <w:jc w:val="center"/>
        </w:pPr>
        <w:r>
          <w:fldChar w:fldCharType="begin"/>
        </w:r>
        <w:r>
          <w:instrText xml:space="preserve"> PAGE   \* MERGEFORMAT </w:instrText>
        </w:r>
        <w:r>
          <w:fldChar w:fldCharType="separate"/>
        </w:r>
        <w:r>
          <w:rPr>
            <w:lang w:val="zh-CN"/>
          </w:rPr>
          <w:t>9</w:t>
        </w:r>
        <w:r>
          <w:rPr>
            <w:lang w:val="zh-CN"/>
          </w:rP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4D"/>
    <w:rsid w:val="000011F1"/>
    <w:rsid w:val="00005CC7"/>
    <w:rsid w:val="00005D6F"/>
    <w:rsid w:val="000126BA"/>
    <w:rsid w:val="00015B5C"/>
    <w:rsid w:val="0001725B"/>
    <w:rsid w:val="00021816"/>
    <w:rsid w:val="000218BC"/>
    <w:rsid w:val="0002340A"/>
    <w:rsid w:val="00025FAD"/>
    <w:rsid w:val="00031D46"/>
    <w:rsid w:val="00032879"/>
    <w:rsid w:val="000345BF"/>
    <w:rsid w:val="00036D64"/>
    <w:rsid w:val="0004250E"/>
    <w:rsid w:val="000575E6"/>
    <w:rsid w:val="00064EED"/>
    <w:rsid w:val="0006605D"/>
    <w:rsid w:val="00066FA0"/>
    <w:rsid w:val="00073581"/>
    <w:rsid w:val="00073CD1"/>
    <w:rsid w:val="00073E37"/>
    <w:rsid w:val="0008480A"/>
    <w:rsid w:val="00085706"/>
    <w:rsid w:val="00087326"/>
    <w:rsid w:val="000A4455"/>
    <w:rsid w:val="000A69B3"/>
    <w:rsid w:val="000A6E3E"/>
    <w:rsid w:val="000B25C8"/>
    <w:rsid w:val="000C706B"/>
    <w:rsid w:val="000D2C59"/>
    <w:rsid w:val="000E0DB1"/>
    <w:rsid w:val="000E2794"/>
    <w:rsid w:val="000E34A0"/>
    <w:rsid w:val="000F2C55"/>
    <w:rsid w:val="000F5488"/>
    <w:rsid w:val="00101A3F"/>
    <w:rsid w:val="0010431D"/>
    <w:rsid w:val="001106EC"/>
    <w:rsid w:val="00116DB9"/>
    <w:rsid w:val="00121BF3"/>
    <w:rsid w:val="001243A3"/>
    <w:rsid w:val="00126D7C"/>
    <w:rsid w:val="001364C8"/>
    <w:rsid w:val="001417BA"/>
    <w:rsid w:val="001448D4"/>
    <w:rsid w:val="001517EA"/>
    <w:rsid w:val="001522F2"/>
    <w:rsid w:val="00153155"/>
    <w:rsid w:val="0015369E"/>
    <w:rsid w:val="00155D8C"/>
    <w:rsid w:val="00156568"/>
    <w:rsid w:val="001569A0"/>
    <w:rsid w:val="0015723C"/>
    <w:rsid w:val="001574AD"/>
    <w:rsid w:val="00165379"/>
    <w:rsid w:val="001657AC"/>
    <w:rsid w:val="0016696E"/>
    <w:rsid w:val="00167E80"/>
    <w:rsid w:val="001711DD"/>
    <w:rsid w:val="00172684"/>
    <w:rsid w:val="00172AE1"/>
    <w:rsid w:val="00173249"/>
    <w:rsid w:val="00192346"/>
    <w:rsid w:val="00193E64"/>
    <w:rsid w:val="001A1A1E"/>
    <w:rsid w:val="001A2282"/>
    <w:rsid w:val="001B0C11"/>
    <w:rsid w:val="001B37A2"/>
    <w:rsid w:val="001B64D8"/>
    <w:rsid w:val="001B768B"/>
    <w:rsid w:val="001C0377"/>
    <w:rsid w:val="001C30F8"/>
    <w:rsid w:val="001C57CB"/>
    <w:rsid w:val="001C607E"/>
    <w:rsid w:val="001D1199"/>
    <w:rsid w:val="001E160B"/>
    <w:rsid w:val="001E2801"/>
    <w:rsid w:val="001E3C8D"/>
    <w:rsid w:val="001E4A53"/>
    <w:rsid w:val="001E4DF8"/>
    <w:rsid w:val="001E7601"/>
    <w:rsid w:val="001E76C2"/>
    <w:rsid w:val="001F0FB3"/>
    <w:rsid w:val="001F1D25"/>
    <w:rsid w:val="002005D0"/>
    <w:rsid w:val="002024F5"/>
    <w:rsid w:val="00207CDE"/>
    <w:rsid w:val="00214DA5"/>
    <w:rsid w:val="00215633"/>
    <w:rsid w:val="002162F4"/>
    <w:rsid w:val="002172C6"/>
    <w:rsid w:val="0022535A"/>
    <w:rsid w:val="00225E44"/>
    <w:rsid w:val="002268FF"/>
    <w:rsid w:val="002269B2"/>
    <w:rsid w:val="00226F99"/>
    <w:rsid w:val="0022778A"/>
    <w:rsid w:val="00230A3A"/>
    <w:rsid w:val="00232D64"/>
    <w:rsid w:val="00234D3D"/>
    <w:rsid w:val="00236FC9"/>
    <w:rsid w:val="00243A39"/>
    <w:rsid w:val="00243A76"/>
    <w:rsid w:val="002455A1"/>
    <w:rsid w:val="0024695B"/>
    <w:rsid w:val="00247F06"/>
    <w:rsid w:val="0025050D"/>
    <w:rsid w:val="00250744"/>
    <w:rsid w:val="00253492"/>
    <w:rsid w:val="00254726"/>
    <w:rsid w:val="002547C0"/>
    <w:rsid w:val="00255056"/>
    <w:rsid w:val="00262932"/>
    <w:rsid w:val="00272DB7"/>
    <w:rsid w:val="00287ABC"/>
    <w:rsid w:val="002A11ED"/>
    <w:rsid w:val="002A3C20"/>
    <w:rsid w:val="002B30B3"/>
    <w:rsid w:val="002B5DCB"/>
    <w:rsid w:val="002B69DC"/>
    <w:rsid w:val="002C4CD4"/>
    <w:rsid w:val="002D33ED"/>
    <w:rsid w:val="002D4133"/>
    <w:rsid w:val="002D4A59"/>
    <w:rsid w:val="002E17C4"/>
    <w:rsid w:val="002E3277"/>
    <w:rsid w:val="002E6C5E"/>
    <w:rsid w:val="002F2D1C"/>
    <w:rsid w:val="002F3027"/>
    <w:rsid w:val="002F3B2D"/>
    <w:rsid w:val="002F68B9"/>
    <w:rsid w:val="00304CC2"/>
    <w:rsid w:val="00306EAF"/>
    <w:rsid w:val="00307362"/>
    <w:rsid w:val="00312772"/>
    <w:rsid w:val="00312EF7"/>
    <w:rsid w:val="00312FAF"/>
    <w:rsid w:val="00316F09"/>
    <w:rsid w:val="00327DB2"/>
    <w:rsid w:val="00333A7A"/>
    <w:rsid w:val="003357DB"/>
    <w:rsid w:val="003465AC"/>
    <w:rsid w:val="00346864"/>
    <w:rsid w:val="0035015B"/>
    <w:rsid w:val="0035559F"/>
    <w:rsid w:val="003578F8"/>
    <w:rsid w:val="00357F22"/>
    <w:rsid w:val="00360519"/>
    <w:rsid w:val="00361EE4"/>
    <w:rsid w:val="0036254A"/>
    <w:rsid w:val="003656D3"/>
    <w:rsid w:val="003677DE"/>
    <w:rsid w:val="00367B16"/>
    <w:rsid w:val="00370698"/>
    <w:rsid w:val="00371C6A"/>
    <w:rsid w:val="00371E81"/>
    <w:rsid w:val="00375703"/>
    <w:rsid w:val="00377619"/>
    <w:rsid w:val="00377AC2"/>
    <w:rsid w:val="00377E35"/>
    <w:rsid w:val="0038304E"/>
    <w:rsid w:val="003833FC"/>
    <w:rsid w:val="0038435B"/>
    <w:rsid w:val="00387719"/>
    <w:rsid w:val="003931EF"/>
    <w:rsid w:val="003965B5"/>
    <w:rsid w:val="003A590D"/>
    <w:rsid w:val="003A7316"/>
    <w:rsid w:val="003B2FB3"/>
    <w:rsid w:val="003C0CF8"/>
    <w:rsid w:val="003C28AF"/>
    <w:rsid w:val="003F10E6"/>
    <w:rsid w:val="003F149A"/>
    <w:rsid w:val="003F16B3"/>
    <w:rsid w:val="003F180E"/>
    <w:rsid w:val="003F7CCC"/>
    <w:rsid w:val="0040099A"/>
    <w:rsid w:val="004011FF"/>
    <w:rsid w:val="0040389C"/>
    <w:rsid w:val="00411806"/>
    <w:rsid w:val="004240FC"/>
    <w:rsid w:val="00424413"/>
    <w:rsid w:val="004264DB"/>
    <w:rsid w:val="00426676"/>
    <w:rsid w:val="00426CE2"/>
    <w:rsid w:val="00427549"/>
    <w:rsid w:val="00432351"/>
    <w:rsid w:val="004369FB"/>
    <w:rsid w:val="0043738C"/>
    <w:rsid w:val="004408CF"/>
    <w:rsid w:val="004412E6"/>
    <w:rsid w:val="00443033"/>
    <w:rsid w:val="004507B5"/>
    <w:rsid w:val="00452F9F"/>
    <w:rsid w:val="004555C4"/>
    <w:rsid w:val="004558AF"/>
    <w:rsid w:val="00456632"/>
    <w:rsid w:val="004567F1"/>
    <w:rsid w:val="00460CB6"/>
    <w:rsid w:val="0046224D"/>
    <w:rsid w:val="00462954"/>
    <w:rsid w:val="004638DB"/>
    <w:rsid w:val="00467D65"/>
    <w:rsid w:val="004700E0"/>
    <w:rsid w:val="0047141B"/>
    <w:rsid w:val="00473DDD"/>
    <w:rsid w:val="00481119"/>
    <w:rsid w:val="004814FB"/>
    <w:rsid w:val="00482CA4"/>
    <w:rsid w:val="00483A59"/>
    <w:rsid w:val="00486DA0"/>
    <w:rsid w:val="00487140"/>
    <w:rsid w:val="004911A7"/>
    <w:rsid w:val="00496C26"/>
    <w:rsid w:val="00497EFF"/>
    <w:rsid w:val="004A0E8D"/>
    <w:rsid w:val="004A1F79"/>
    <w:rsid w:val="004A7D0E"/>
    <w:rsid w:val="004C0192"/>
    <w:rsid w:val="004C5854"/>
    <w:rsid w:val="004C59AF"/>
    <w:rsid w:val="004D2CE7"/>
    <w:rsid w:val="004D5A2A"/>
    <w:rsid w:val="004E38D0"/>
    <w:rsid w:val="004E5D9A"/>
    <w:rsid w:val="004E5F70"/>
    <w:rsid w:val="004E6477"/>
    <w:rsid w:val="004E7080"/>
    <w:rsid w:val="004F0890"/>
    <w:rsid w:val="004F238A"/>
    <w:rsid w:val="004F2B1F"/>
    <w:rsid w:val="004F7804"/>
    <w:rsid w:val="005010CE"/>
    <w:rsid w:val="0050290A"/>
    <w:rsid w:val="00510EFA"/>
    <w:rsid w:val="00512751"/>
    <w:rsid w:val="00514573"/>
    <w:rsid w:val="005214CE"/>
    <w:rsid w:val="00522505"/>
    <w:rsid w:val="00523298"/>
    <w:rsid w:val="005233EB"/>
    <w:rsid w:val="00523541"/>
    <w:rsid w:val="00531B8C"/>
    <w:rsid w:val="00536266"/>
    <w:rsid w:val="005456C3"/>
    <w:rsid w:val="0054682B"/>
    <w:rsid w:val="00550E1B"/>
    <w:rsid w:val="00552B5C"/>
    <w:rsid w:val="00555967"/>
    <w:rsid w:val="00560C0E"/>
    <w:rsid w:val="00564F86"/>
    <w:rsid w:val="0056681B"/>
    <w:rsid w:val="00567AE8"/>
    <w:rsid w:val="005703DC"/>
    <w:rsid w:val="00577A5D"/>
    <w:rsid w:val="005836B6"/>
    <w:rsid w:val="00584A87"/>
    <w:rsid w:val="00590161"/>
    <w:rsid w:val="00590A67"/>
    <w:rsid w:val="005A360F"/>
    <w:rsid w:val="005A4D73"/>
    <w:rsid w:val="005C0743"/>
    <w:rsid w:val="005C208A"/>
    <w:rsid w:val="005C3F1F"/>
    <w:rsid w:val="005D06BF"/>
    <w:rsid w:val="005D185A"/>
    <w:rsid w:val="005D4DD4"/>
    <w:rsid w:val="005E1C66"/>
    <w:rsid w:val="005E1E08"/>
    <w:rsid w:val="005E2E38"/>
    <w:rsid w:val="005E54D3"/>
    <w:rsid w:val="005E5CF2"/>
    <w:rsid w:val="005F1795"/>
    <w:rsid w:val="005F5AF1"/>
    <w:rsid w:val="005F7963"/>
    <w:rsid w:val="005F7E60"/>
    <w:rsid w:val="00600EE8"/>
    <w:rsid w:val="00603C06"/>
    <w:rsid w:val="006044CA"/>
    <w:rsid w:val="00610D7F"/>
    <w:rsid w:val="006129E3"/>
    <w:rsid w:val="00612AF0"/>
    <w:rsid w:val="006131AD"/>
    <w:rsid w:val="00620EBC"/>
    <w:rsid w:val="006407E2"/>
    <w:rsid w:val="00642622"/>
    <w:rsid w:val="006457BF"/>
    <w:rsid w:val="00645CF0"/>
    <w:rsid w:val="006469C1"/>
    <w:rsid w:val="0065036A"/>
    <w:rsid w:val="006570E8"/>
    <w:rsid w:val="00660FC1"/>
    <w:rsid w:val="00662152"/>
    <w:rsid w:val="006715C7"/>
    <w:rsid w:val="00672CC7"/>
    <w:rsid w:val="006756E2"/>
    <w:rsid w:val="006758B2"/>
    <w:rsid w:val="00677FD6"/>
    <w:rsid w:val="00680EB9"/>
    <w:rsid w:val="00683FFA"/>
    <w:rsid w:val="00684611"/>
    <w:rsid w:val="006851F0"/>
    <w:rsid w:val="00692538"/>
    <w:rsid w:val="00693721"/>
    <w:rsid w:val="006B4524"/>
    <w:rsid w:val="006B4635"/>
    <w:rsid w:val="006B4A3D"/>
    <w:rsid w:val="006B6BA7"/>
    <w:rsid w:val="006C0FEA"/>
    <w:rsid w:val="006C7069"/>
    <w:rsid w:val="006D3828"/>
    <w:rsid w:val="006D5A88"/>
    <w:rsid w:val="006D5ACB"/>
    <w:rsid w:val="006E2A2D"/>
    <w:rsid w:val="006E2ABD"/>
    <w:rsid w:val="006F04B9"/>
    <w:rsid w:val="006F2912"/>
    <w:rsid w:val="006F694E"/>
    <w:rsid w:val="00702670"/>
    <w:rsid w:val="0070340E"/>
    <w:rsid w:val="00704AF6"/>
    <w:rsid w:val="0070735E"/>
    <w:rsid w:val="00721AD4"/>
    <w:rsid w:val="00725694"/>
    <w:rsid w:val="00727216"/>
    <w:rsid w:val="007305E6"/>
    <w:rsid w:val="007339DC"/>
    <w:rsid w:val="00733AE7"/>
    <w:rsid w:val="007358BF"/>
    <w:rsid w:val="0073643E"/>
    <w:rsid w:val="0074035C"/>
    <w:rsid w:val="0076360F"/>
    <w:rsid w:val="00767D84"/>
    <w:rsid w:val="0077794D"/>
    <w:rsid w:val="00784F45"/>
    <w:rsid w:val="00785D93"/>
    <w:rsid w:val="007875BC"/>
    <w:rsid w:val="0079071A"/>
    <w:rsid w:val="0079245B"/>
    <w:rsid w:val="007944FD"/>
    <w:rsid w:val="007A61E4"/>
    <w:rsid w:val="007B04C6"/>
    <w:rsid w:val="007B2B55"/>
    <w:rsid w:val="007B5D7A"/>
    <w:rsid w:val="007C2D32"/>
    <w:rsid w:val="007C4125"/>
    <w:rsid w:val="007C48F9"/>
    <w:rsid w:val="007C4DA4"/>
    <w:rsid w:val="007C7F58"/>
    <w:rsid w:val="007D491C"/>
    <w:rsid w:val="007D7F63"/>
    <w:rsid w:val="007E07B3"/>
    <w:rsid w:val="007E2E9F"/>
    <w:rsid w:val="007E3B80"/>
    <w:rsid w:val="007F053C"/>
    <w:rsid w:val="007F1F53"/>
    <w:rsid w:val="007F4ED4"/>
    <w:rsid w:val="007F5ADF"/>
    <w:rsid w:val="007F618D"/>
    <w:rsid w:val="007F6A7F"/>
    <w:rsid w:val="0082156D"/>
    <w:rsid w:val="00825065"/>
    <w:rsid w:val="00827A77"/>
    <w:rsid w:val="00830661"/>
    <w:rsid w:val="00836001"/>
    <w:rsid w:val="00837211"/>
    <w:rsid w:val="008427AC"/>
    <w:rsid w:val="0084444B"/>
    <w:rsid w:val="008516D3"/>
    <w:rsid w:val="00852F16"/>
    <w:rsid w:val="008532A9"/>
    <w:rsid w:val="008536F5"/>
    <w:rsid w:val="0085462D"/>
    <w:rsid w:val="00856956"/>
    <w:rsid w:val="0086015C"/>
    <w:rsid w:val="00860735"/>
    <w:rsid w:val="008608D7"/>
    <w:rsid w:val="00861A2D"/>
    <w:rsid w:val="00863FE0"/>
    <w:rsid w:val="00865228"/>
    <w:rsid w:val="00866868"/>
    <w:rsid w:val="00866933"/>
    <w:rsid w:val="00866C0D"/>
    <w:rsid w:val="008700FE"/>
    <w:rsid w:val="0087069A"/>
    <w:rsid w:val="0087678D"/>
    <w:rsid w:val="0087692E"/>
    <w:rsid w:val="00877BC4"/>
    <w:rsid w:val="008806DD"/>
    <w:rsid w:val="008834DF"/>
    <w:rsid w:val="00886FB9"/>
    <w:rsid w:val="00893D2B"/>
    <w:rsid w:val="00896E1F"/>
    <w:rsid w:val="008A6D16"/>
    <w:rsid w:val="008B292D"/>
    <w:rsid w:val="008B6A4F"/>
    <w:rsid w:val="008B6C17"/>
    <w:rsid w:val="008C3D99"/>
    <w:rsid w:val="008C6928"/>
    <w:rsid w:val="008C6C62"/>
    <w:rsid w:val="008D7151"/>
    <w:rsid w:val="008E2464"/>
    <w:rsid w:val="008E248E"/>
    <w:rsid w:val="008F3A06"/>
    <w:rsid w:val="008F6373"/>
    <w:rsid w:val="009001B6"/>
    <w:rsid w:val="00905E22"/>
    <w:rsid w:val="009071F3"/>
    <w:rsid w:val="00915B60"/>
    <w:rsid w:val="0091651E"/>
    <w:rsid w:val="0091751A"/>
    <w:rsid w:val="00921A3A"/>
    <w:rsid w:val="0094358A"/>
    <w:rsid w:val="009474E0"/>
    <w:rsid w:val="009544A1"/>
    <w:rsid w:val="00954D9E"/>
    <w:rsid w:val="00961AAF"/>
    <w:rsid w:val="00962366"/>
    <w:rsid w:val="00966211"/>
    <w:rsid w:val="00970DD1"/>
    <w:rsid w:val="00974C97"/>
    <w:rsid w:val="00974F6F"/>
    <w:rsid w:val="00980D41"/>
    <w:rsid w:val="009829BA"/>
    <w:rsid w:val="00986204"/>
    <w:rsid w:val="00990C58"/>
    <w:rsid w:val="00990F05"/>
    <w:rsid w:val="0099462E"/>
    <w:rsid w:val="00995890"/>
    <w:rsid w:val="00996357"/>
    <w:rsid w:val="009A11C9"/>
    <w:rsid w:val="009B7527"/>
    <w:rsid w:val="009C1CFF"/>
    <w:rsid w:val="009C1D72"/>
    <w:rsid w:val="009C3892"/>
    <w:rsid w:val="009C40AD"/>
    <w:rsid w:val="009C452F"/>
    <w:rsid w:val="009C4D4F"/>
    <w:rsid w:val="009C5BB4"/>
    <w:rsid w:val="009C6FAE"/>
    <w:rsid w:val="009D5B05"/>
    <w:rsid w:val="009D63AD"/>
    <w:rsid w:val="009D71E4"/>
    <w:rsid w:val="009E5179"/>
    <w:rsid w:val="009F500E"/>
    <w:rsid w:val="009F5859"/>
    <w:rsid w:val="009F6A5B"/>
    <w:rsid w:val="00A013E1"/>
    <w:rsid w:val="00A04611"/>
    <w:rsid w:val="00A067E3"/>
    <w:rsid w:val="00A10E7E"/>
    <w:rsid w:val="00A12802"/>
    <w:rsid w:val="00A1602B"/>
    <w:rsid w:val="00A161F7"/>
    <w:rsid w:val="00A16DA8"/>
    <w:rsid w:val="00A212AD"/>
    <w:rsid w:val="00A2400D"/>
    <w:rsid w:val="00A248C8"/>
    <w:rsid w:val="00A25D04"/>
    <w:rsid w:val="00A26C82"/>
    <w:rsid w:val="00A27C5A"/>
    <w:rsid w:val="00A35835"/>
    <w:rsid w:val="00A36063"/>
    <w:rsid w:val="00A368FD"/>
    <w:rsid w:val="00A36EC8"/>
    <w:rsid w:val="00A37A8A"/>
    <w:rsid w:val="00A43F3B"/>
    <w:rsid w:val="00A44228"/>
    <w:rsid w:val="00A447A3"/>
    <w:rsid w:val="00A556AD"/>
    <w:rsid w:val="00A60042"/>
    <w:rsid w:val="00A63A81"/>
    <w:rsid w:val="00A6606F"/>
    <w:rsid w:val="00A70002"/>
    <w:rsid w:val="00A74E89"/>
    <w:rsid w:val="00A752CF"/>
    <w:rsid w:val="00A805BC"/>
    <w:rsid w:val="00A810F5"/>
    <w:rsid w:val="00A90D48"/>
    <w:rsid w:val="00A954AF"/>
    <w:rsid w:val="00A956BA"/>
    <w:rsid w:val="00A96370"/>
    <w:rsid w:val="00A97220"/>
    <w:rsid w:val="00AA3A03"/>
    <w:rsid w:val="00AA4AC7"/>
    <w:rsid w:val="00AB1F27"/>
    <w:rsid w:val="00AB2A81"/>
    <w:rsid w:val="00AB6DA7"/>
    <w:rsid w:val="00AB791D"/>
    <w:rsid w:val="00AC2F74"/>
    <w:rsid w:val="00AD1FB1"/>
    <w:rsid w:val="00AE0B38"/>
    <w:rsid w:val="00AE7651"/>
    <w:rsid w:val="00AF6C89"/>
    <w:rsid w:val="00AF7A92"/>
    <w:rsid w:val="00B125CE"/>
    <w:rsid w:val="00B1664F"/>
    <w:rsid w:val="00B1752F"/>
    <w:rsid w:val="00B204E8"/>
    <w:rsid w:val="00B22A06"/>
    <w:rsid w:val="00B2547C"/>
    <w:rsid w:val="00B268CD"/>
    <w:rsid w:val="00B27AF4"/>
    <w:rsid w:val="00B27B98"/>
    <w:rsid w:val="00B31A64"/>
    <w:rsid w:val="00B37D4F"/>
    <w:rsid w:val="00B42D04"/>
    <w:rsid w:val="00B4433A"/>
    <w:rsid w:val="00B44380"/>
    <w:rsid w:val="00B453A0"/>
    <w:rsid w:val="00B55486"/>
    <w:rsid w:val="00B579D0"/>
    <w:rsid w:val="00B61D17"/>
    <w:rsid w:val="00B64631"/>
    <w:rsid w:val="00B66F7D"/>
    <w:rsid w:val="00B76656"/>
    <w:rsid w:val="00B76860"/>
    <w:rsid w:val="00B81D60"/>
    <w:rsid w:val="00B85D36"/>
    <w:rsid w:val="00B87984"/>
    <w:rsid w:val="00B91944"/>
    <w:rsid w:val="00B91B0B"/>
    <w:rsid w:val="00BA3193"/>
    <w:rsid w:val="00BA7BF9"/>
    <w:rsid w:val="00BB0415"/>
    <w:rsid w:val="00BC1001"/>
    <w:rsid w:val="00BC1C1B"/>
    <w:rsid w:val="00BC3A29"/>
    <w:rsid w:val="00BC4D6E"/>
    <w:rsid w:val="00BC6594"/>
    <w:rsid w:val="00BC6CA1"/>
    <w:rsid w:val="00BD0002"/>
    <w:rsid w:val="00BD0D78"/>
    <w:rsid w:val="00BD7479"/>
    <w:rsid w:val="00BD79B4"/>
    <w:rsid w:val="00BE251D"/>
    <w:rsid w:val="00BE3357"/>
    <w:rsid w:val="00BE4A36"/>
    <w:rsid w:val="00BE5136"/>
    <w:rsid w:val="00BE5AF8"/>
    <w:rsid w:val="00BF0B13"/>
    <w:rsid w:val="00BF0E7F"/>
    <w:rsid w:val="00BF1413"/>
    <w:rsid w:val="00BF3993"/>
    <w:rsid w:val="00BF42DB"/>
    <w:rsid w:val="00BF6E40"/>
    <w:rsid w:val="00C006E7"/>
    <w:rsid w:val="00C01B45"/>
    <w:rsid w:val="00C0428E"/>
    <w:rsid w:val="00C06E21"/>
    <w:rsid w:val="00C114A7"/>
    <w:rsid w:val="00C132CF"/>
    <w:rsid w:val="00C16D44"/>
    <w:rsid w:val="00C17CE0"/>
    <w:rsid w:val="00C21573"/>
    <w:rsid w:val="00C248B8"/>
    <w:rsid w:val="00C314D7"/>
    <w:rsid w:val="00C35AD3"/>
    <w:rsid w:val="00C374D4"/>
    <w:rsid w:val="00C43A9C"/>
    <w:rsid w:val="00C44D21"/>
    <w:rsid w:val="00C6505F"/>
    <w:rsid w:val="00C65DF8"/>
    <w:rsid w:val="00C7046B"/>
    <w:rsid w:val="00C718E5"/>
    <w:rsid w:val="00C7322A"/>
    <w:rsid w:val="00C7601A"/>
    <w:rsid w:val="00C84654"/>
    <w:rsid w:val="00C85505"/>
    <w:rsid w:val="00C93D57"/>
    <w:rsid w:val="00C940DD"/>
    <w:rsid w:val="00CB0BB0"/>
    <w:rsid w:val="00CB0CDA"/>
    <w:rsid w:val="00CB1BC0"/>
    <w:rsid w:val="00CB5BFE"/>
    <w:rsid w:val="00CC2E30"/>
    <w:rsid w:val="00CC3CE0"/>
    <w:rsid w:val="00CC6FFE"/>
    <w:rsid w:val="00CD08F6"/>
    <w:rsid w:val="00CD0B97"/>
    <w:rsid w:val="00CD5306"/>
    <w:rsid w:val="00CE0FCF"/>
    <w:rsid w:val="00CE51A5"/>
    <w:rsid w:val="00CE77E3"/>
    <w:rsid w:val="00CF019F"/>
    <w:rsid w:val="00CF0B64"/>
    <w:rsid w:val="00CF1DD2"/>
    <w:rsid w:val="00CF40A6"/>
    <w:rsid w:val="00CF61E9"/>
    <w:rsid w:val="00CF6683"/>
    <w:rsid w:val="00D015F7"/>
    <w:rsid w:val="00D01BB8"/>
    <w:rsid w:val="00D04E86"/>
    <w:rsid w:val="00D16668"/>
    <w:rsid w:val="00D2055D"/>
    <w:rsid w:val="00D2184D"/>
    <w:rsid w:val="00D23AC9"/>
    <w:rsid w:val="00D2694F"/>
    <w:rsid w:val="00D31C82"/>
    <w:rsid w:val="00D45C8A"/>
    <w:rsid w:val="00D475A8"/>
    <w:rsid w:val="00D505C6"/>
    <w:rsid w:val="00D51073"/>
    <w:rsid w:val="00D53655"/>
    <w:rsid w:val="00D54838"/>
    <w:rsid w:val="00D5690F"/>
    <w:rsid w:val="00D6338F"/>
    <w:rsid w:val="00D644AC"/>
    <w:rsid w:val="00D65F32"/>
    <w:rsid w:val="00D70384"/>
    <w:rsid w:val="00D709CF"/>
    <w:rsid w:val="00D8062A"/>
    <w:rsid w:val="00D81BA1"/>
    <w:rsid w:val="00D855B0"/>
    <w:rsid w:val="00D86CFF"/>
    <w:rsid w:val="00D92AE8"/>
    <w:rsid w:val="00D92F40"/>
    <w:rsid w:val="00D960C0"/>
    <w:rsid w:val="00DA05BA"/>
    <w:rsid w:val="00DA0801"/>
    <w:rsid w:val="00DA09B3"/>
    <w:rsid w:val="00DA1280"/>
    <w:rsid w:val="00DA2B7D"/>
    <w:rsid w:val="00DA3FFD"/>
    <w:rsid w:val="00DA7632"/>
    <w:rsid w:val="00DB1149"/>
    <w:rsid w:val="00DB74E1"/>
    <w:rsid w:val="00DC2601"/>
    <w:rsid w:val="00DC6DC3"/>
    <w:rsid w:val="00DC74BA"/>
    <w:rsid w:val="00DD0403"/>
    <w:rsid w:val="00DD3487"/>
    <w:rsid w:val="00DD4E97"/>
    <w:rsid w:val="00DD6C09"/>
    <w:rsid w:val="00DE11D0"/>
    <w:rsid w:val="00DE54E6"/>
    <w:rsid w:val="00DF07CA"/>
    <w:rsid w:val="00DF6469"/>
    <w:rsid w:val="00DF75A0"/>
    <w:rsid w:val="00DF79CC"/>
    <w:rsid w:val="00E0259A"/>
    <w:rsid w:val="00E02ABE"/>
    <w:rsid w:val="00E02B57"/>
    <w:rsid w:val="00E03160"/>
    <w:rsid w:val="00E04DDA"/>
    <w:rsid w:val="00E06107"/>
    <w:rsid w:val="00E1156D"/>
    <w:rsid w:val="00E128A6"/>
    <w:rsid w:val="00E12F10"/>
    <w:rsid w:val="00E14499"/>
    <w:rsid w:val="00E1525D"/>
    <w:rsid w:val="00E15937"/>
    <w:rsid w:val="00E176D7"/>
    <w:rsid w:val="00E17E3C"/>
    <w:rsid w:val="00E2297D"/>
    <w:rsid w:val="00E23D30"/>
    <w:rsid w:val="00E248E3"/>
    <w:rsid w:val="00E316A5"/>
    <w:rsid w:val="00E320F4"/>
    <w:rsid w:val="00E336C2"/>
    <w:rsid w:val="00E358D7"/>
    <w:rsid w:val="00E3716C"/>
    <w:rsid w:val="00E378DB"/>
    <w:rsid w:val="00E429EC"/>
    <w:rsid w:val="00E52CB7"/>
    <w:rsid w:val="00E53762"/>
    <w:rsid w:val="00E54BAB"/>
    <w:rsid w:val="00E60BE2"/>
    <w:rsid w:val="00E63F1C"/>
    <w:rsid w:val="00E657D3"/>
    <w:rsid w:val="00E71756"/>
    <w:rsid w:val="00E71B60"/>
    <w:rsid w:val="00E739BA"/>
    <w:rsid w:val="00E74CC3"/>
    <w:rsid w:val="00E76A52"/>
    <w:rsid w:val="00E772FA"/>
    <w:rsid w:val="00E7778F"/>
    <w:rsid w:val="00E777C8"/>
    <w:rsid w:val="00E85BDA"/>
    <w:rsid w:val="00E90E93"/>
    <w:rsid w:val="00E94C21"/>
    <w:rsid w:val="00E961A8"/>
    <w:rsid w:val="00E96994"/>
    <w:rsid w:val="00EA13CC"/>
    <w:rsid w:val="00EA23CA"/>
    <w:rsid w:val="00EA78A1"/>
    <w:rsid w:val="00EB01DD"/>
    <w:rsid w:val="00EB6717"/>
    <w:rsid w:val="00EB6889"/>
    <w:rsid w:val="00EB75A9"/>
    <w:rsid w:val="00EC7BB2"/>
    <w:rsid w:val="00ED38DB"/>
    <w:rsid w:val="00EE4820"/>
    <w:rsid w:val="00EE60D8"/>
    <w:rsid w:val="00EF27B9"/>
    <w:rsid w:val="00EF293B"/>
    <w:rsid w:val="00EF3037"/>
    <w:rsid w:val="00EF451F"/>
    <w:rsid w:val="00EF50F0"/>
    <w:rsid w:val="00F00562"/>
    <w:rsid w:val="00F06B40"/>
    <w:rsid w:val="00F1154E"/>
    <w:rsid w:val="00F138AC"/>
    <w:rsid w:val="00F15161"/>
    <w:rsid w:val="00F17005"/>
    <w:rsid w:val="00F1718D"/>
    <w:rsid w:val="00F20145"/>
    <w:rsid w:val="00F248E9"/>
    <w:rsid w:val="00F2615E"/>
    <w:rsid w:val="00F35D9E"/>
    <w:rsid w:val="00F4539C"/>
    <w:rsid w:val="00F5074F"/>
    <w:rsid w:val="00F516CB"/>
    <w:rsid w:val="00F51B8A"/>
    <w:rsid w:val="00F52F5E"/>
    <w:rsid w:val="00F55491"/>
    <w:rsid w:val="00F635BE"/>
    <w:rsid w:val="00F661E3"/>
    <w:rsid w:val="00F6623E"/>
    <w:rsid w:val="00F74B86"/>
    <w:rsid w:val="00F81A72"/>
    <w:rsid w:val="00F820ED"/>
    <w:rsid w:val="00F838BE"/>
    <w:rsid w:val="00F86C6D"/>
    <w:rsid w:val="00F90E8A"/>
    <w:rsid w:val="00F93A50"/>
    <w:rsid w:val="00F95035"/>
    <w:rsid w:val="00F96AB1"/>
    <w:rsid w:val="00FA0690"/>
    <w:rsid w:val="00FA230D"/>
    <w:rsid w:val="00FA70C0"/>
    <w:rsid w:val="00FB45CE"/>
    <w:rsid w:val="00FC00E0"/>
    <w:rsid w:val="00FC030F"/>
    <w:rsid w:val="00FC2743"/>
    <w:rsid w:val="00FC76DA"/>
    <w:rsid w:val="00FD1401"/>
    <w:rsid w:val="00FD2E9C"/>
    <w:rsid w:val="00FD646A"/>
    <w:rsid w:val="00FE378F"/>
    <w:rsid w:val="00FE3FCC"/>
    <w:rsid w:val="00FE6B3C"/>
    <w:rsid w:val="00FE75C4"/>
    <w:rsid w:val="00FE7941"/>
    <w:rsid w:val="00FF0600"/>
    <w:rsid w:val="00FF2F37"/>
    <w:rsid w:val="00FF2F7B"/>
    <w:rsid w:val="01EE0D78"/>
    <w:rsid w:val="02216349"/>
    <w:rsid w:val="067D24B9"/>
    <w:rsid w:val="0731706B"/>
    <w:rsid w:val="077E4504"/>
    <w:rsid w:val="081E353B"/>
    <w:rsid w:val="08902749"/>
    <w:rsid w:val="09FA5F7C"/>
    <w:rsid w:val="0FD70CDD"/>
    <w:rsid w:val="104A42F7"/>
    <w:rsid w:val="106B6A3F"/>
    <w:rsid w:val="130841DE"/>
    <w:rsid w:val="14710DF7"/>
    <w:rsid w:val="154F169C"/>
    <w:rsid w:val="16F90EC0"/>
    <w:rsid w:val="1797478C"/>
    <w:rsid w:val="18FF17B5"/>
    <w:rsid w:val="1F2B5DCC"/>
    <w:rsid w:val="20A75948"/>
    <w:rsid w:val="23881314"/>
    <w:rsid w:val="23F67DE1"/>
    <w:rsid w:val="27DE5CEF"/>
    <w:rsid w:val="2BE546FE"/>
    <w:rsid w:val="2EF7BD96"/>
    <w:rsid w:val="30BB1840"/>
    <w:rsid w:val="30FB3014"/>
    <w:rsid w:val="382C0B3B"/>
    <w:rsid w:val="39721C21"/>
    <w:rsid w:val="3B5B4498"/>
    <w:rsid w:val="3D9945AF"/>
    <w:rsid w:val="3F7367BB"/>
    <w:rsid w:val="46AF28FF"/>
    <w:rsid w:val="53074DF9"/>
    <w:rsid w:val="542C00BB"/>
    <w:rsid w:val="55181522"/>
    <w:rsid w:val="5A7C44CD"/>
    <w:rsid w:val="5C6724BD"/>
    <w:rsid w:val="5EDA2879"/>
    <w:rsid w:val="61407394"/>
    <w:rsid w:val="65631FF7"/>
    <w:rsid w:val="662A768B"/>
    <w:rsid w:val="66755CA7"/>
    <w:rsid w:val="69BE77E5"/>
    <w:rsid w:val="6BBA2368"/>
    <w:rsid w:val="6CE4376B"/>
    <w:rsid w:val="6DB72BBF"/>
    <w:rsid w:val="70B82ED3"/>
    <w:rsid w:val="74EA4A6B"/>
    <w:rsid w:val="75664018"/>
    <w:rsid w:val="7676684E"/>
    <w:rsid w:val="77E9B2D0"/>
    <w:rsid w:val="785E22A8"/>
    <w:rsid w:val="796514FF"/>
    <w:rsid w:val="7997309C"/>
    <w:rsid w:val="7B6D44AC"/>
    <w:rsid w:val="7BE74D56"/>
    <w:rsid w:val="7D2E2D00"/>
    <w:rsid w:val="7F3D00DD"/>
    <w:rsid w:val="7FFE2DFE"/>
    <w:rsid w:val="A5376DB5"/>
    <w:rsid w:val="AB97AC60"/>
    <w:rsid w:val="E7BEEC4B"/>
    <w:rsid w:val="F6F6A956"/>
    <w:rsid w:val="F7E580D2"/>
    <w:rsid w:val="FEEB81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8"/>
    <w:qFormat/>
    <w:uiPriority w:val="9"/>
    <w:pPr>
      <w:keepNext/>
      <w:keepLines/>
      <w:spacing w:before="340" w:after="330" w:line="578" w:lineRule="auto"/>
      <w:outlineLvl w:val="0"/>
    </w:pPr>
    <w:rPr>
      <w:rFonts w:ascii="Times New Roman" w:hAnsi="Times New Roman" w:eastAsia="黑体" w:cs="Times New Roman"/>
      <w:b/>
      <w:bCs/>
      <w:kern w:val="44"/>
      <w:sz w:val="44"/>
      <w:szCs w:val="44"/>
    </w:rPr>
  </w:style>
  <w:style w:type="paragraph" w:styleId="3">
    <w:name w:val="heading 2"/>
    <w:basedOn w:val="1"/>
    <w:next w:val="1"/>
    <w:link w:val="20"/>
    <w:unhideWhenUsed/>
    <w:qFormat/>
    <w:uiPriority w:val="9"/>
    <w:pPr>
      <w:keepNext/>
      <w:keepLines/>
      <w:adjustRightInd w:val="0"/>
      <w:snapToGrid w:val="0"/>
      <w:spacing w:line="560" w:lineRule="exact"/>
      <w:ind w:firstLine="200" w:firstLineChars="200"/>
      <w:outlineLvl w:val="1"/>
    </w:pPr>
    <w:rPr>
      <w:rFonts w:ascii="Times New Roman" w:hAnsi="Times New Roman" w:eastAsia="楷体_GB2312" w:cstheme="majorBidi"/>
      <w:bCs/>
      <w:sz w:val="32"/>
      <w:szCs w:val="32"/>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unhideWhenUsed/>
    <w:qFormat/>
    <w:uiPriority w:val="99"/>
    <w:pPr>
      <w:jc w:val="left"/>
    </w:pPr>
  </w:style>
  <w:style w:type="paragraph" w:styleId="5">
    <w:name w:val="Body Text"/>
    <w:basedOn w:val="1"/>
    <w:link w:val="23"/>
    <w:unhideWhenUsed/>
    <w:qFormat/>
    <w:uiPriority w:val="99"/>
    <w:pPr>
      <w:spacing w:after="120"/>
    </w:pPr>
  </w:style>
  <w:style w:type="paragraph" w:styleId="6">
    <w:name w:val="Body Text Indent"/>
    <w:basedOn w:val="1"/>
    <w:link w:val="21"/>
    <w:semiHidden/>
    <w:unhideWhenUsed/>
    <w:qFormat/>
    <w:uiPriority w:val="99"/>
    <w:pPr>
      <w:spacing w:after="120"/>
      <w:ind w:left="420" w:leftChars="200"/>
    </w:pPr>
  </w:style>
  <w:style w:type="paragraph" w:styleId="7">
    <w:name w:val="Balloon Text"/>
    <w:basedOn w:val="1"/>
    <w:link w:val="24"/>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4"/>
    <w:next w:val="4"/>
    <w:link w:val="26"/>
    <w:semiHidden/>
    <w:unhideWhenUsed/>
    <w:qFormat/>
    <w:uiPriority w:val="99"/>
    <w:rPr>
      <w:b/>
      <w:bCs/>
    </w:rPr>
  </w:style>
  <w:style w:type="paragraph" w:styleId="12">
    <w:name w:val="Body Text First Indent 2"/>
    <w:basedOn w:val="6"/>
    <w:link w:val="22"/>
    <w:semiHidden/>
    <w:unhideWhenUsed/>
    <w:qFormat/>
    <w:uiPriority w:val="99"/>
    <w:pPr>
      <w:adjustRightInd w:val="0"/>
      <w:snapToGrid w:val="0"/>
      <w:spacing w:after="0" w:line="560" w:lineRule="exact"/>
      <w:ind w:firstLine="420" w:firstLineChars="200"/>
    </w:pPr>
    <w:rPr>
      <w:rFonts w:ascii="Times New Roman" w:hAnsi="Times New Roman" w:eastAsia="仿宋_GB2312"/>
      <w:sz w:val="32"/>
    </w:rPr>
  </w:style>
  <w:style w:type="character" w:styleId="15">
    <w:name w:val="Strong"/>
    <w:basedOn w:val="14"/>
    <w:qFormat/>
    <w:uiPriority w:val="22"/>
    <w:rPr>
      <w:b/>
      <w:bCs/>
    </w:rPr>
  </w:style>
  <w:style w:type="character" w:styleId="16">
    <w:name w:val="Emphasis"/>
    <w:basedOn w:val="14"/>
    <w:qFormat/>
    <w:uiPriority w:val="20"/>
    <w:rPr>
      <w:i/>
    </w:rPr>
  </w:style>
  <w:style w:type="character" w:styleId="17">
    <w:name w:val="annotation reference"/>
    <w:basedOn w:val="14"/>
    <w:semiHidden/>
    <w:unhideWhenUsed/>
    <w:qFormat/>
    <w:uiPriority w:val="99"/>
    <w:rPr>
      <w:sz w:val="21"/>
      <w:szCs w:val="21"/>
    </w:rPr>
  </w:style>
  <w:style w:type="character" w:customStyle="1" w:styleId="18">
    <w:name w:val="页眉 字符"/>
    <w:basedOn w:val="14"/>
    <w:link w:val="9"/>
    <w:qFormat/>
    <w:uiPriority w:val="99"/>
    <w:rPr>
      <w:sz w:val="18"/>
      <w:szCs w:val="18"/>
    </w:rPr>
  </w:style>
  <w:style w:type="character" w:customStyle="1" w:styleId="19">
    <w:name w:val="页脚 字符"/>
    <w:basedOn w:val="14"/>
    <w:link w:val="8"/>
    <w:qFormat/>
    <w:uiPriority w:val="99"/>
    <w:rPr>
      <w:sz w:val="18"/>
      <w:szCs w:val="18"/>
    </w:rPr>
  </w:style>
  <w:style w:type="character" w:customStyle="1" w:styleId="20">
    <w:name w:val="标题 2 字符"/>
    <w:basedOn w:val="14"/>
    <w:link w:val="3"/>
    <w:qFormat/>
    <w:uiPriority w:val="9"/>
    <w:rPr>
      <w:rFonts w:ascii="Times New Roman" w:hAnsi="Times New Roman" w:eastAsia="楷体_GB2312" w:cstheme="majorBidi"/>
      <w:bCs/>
      <w:sz w:val="32"/>
      <w:szCs w:val="32"/>
    </w:rPr>
  </w:style>
  <w:style w:type="character" w:customStyle="1" w:styleId="21">
    <w:name w:val="正文文本缩进 字符"/>
    <w:basedOn w:val="14"/>
    <w:link w:val="6"/>
    <w:semiHidden/>
    <w:qFormat/>
    <w:uiPriority w:val="99"/>
  </w:style>
  <w:style w:type="character" w:customStyle="1" w:styleId="22">
    <w:name w:val="正文文本首行缩进 2 字符"/>
    <w:basedOn w:val="21"/>
    <w:link w:val="12"/>
    <w:semiHidden/>
    <w:qFormat/>
    <w:uiPriority w:val="99"/>
    <w:rPr>
      <w:rFonts w:ascii="Times New Roman" w:hAnsi="Times New Roman" w:eastAsia="仿宋_GB2312"/>
      <w:sz w:val="32"/>
    </w:rPr>
  </w:style>
  <w:style w:type="character" w:customStyle="1" w:styleId="23">
    <w:name w:val="正文文本 字符"/>
    <w:basedOn w:val="14"/>
    <w:link w:val="5"/>
    <w:qFormat/>
    <w:uiPriority w:val="99"/>
  </w:style>
  <w:style w:type="character" w:customStyle="1" w:styleId="24">
    <w:name w:val="批注框文本 字符"/>
    <w:basedOn w:val="14"/>
    <w:link w:val="7"/>
    <w:semiHidden/>
    <w:qFormat/>
    <w:uiPriority w:val="99"/>
    <w:rPr>
      <w:rFonts w:asciiTheme="minorHAnsi" w:hAnsiTheme="minorHAnsi" w:eastAsiaTheme="minorEastAsia" w:cstheme="minorBidi"/>
      <w:kern w:val="2"/>
      <w:sz w:val="18"/>
      <w:szCs w:val="18"/>
    </w:rPr>
  </w:style>
  <w:style w:type="character" w:customStyle="1" w:styleId="25">
    <w:name w:val="批注文字 字符"/>
    <w:basedOn w:val="14"/>
    <w:link w:val="4"/>
    <w:qFormat/>
    <w:uiPriority w:val="99"/>
    <w:rPr>
      <w:rFonts w:asciiTheme="minorHAnsi" w:hAnsiTheme="minorHAnsi" w:eastAsiaTheme="minorEastAsia" w:cstheme="minorBidi"/>
      <w:kern w:val="2"/>
      <w:sz w:val="21"/>
      <w:szCs w:val="22"/>
    </w:rPr>
  </w:style>
  <w:style w:type="character" w:customStyle="1" w:styleId="26">
    <w:name w:val="批注主题 字符"/>
    <w:basedOn w:val="25"/>
    <w:link w:val="11"/>
    <w:semiHidden/>
    <w:qFormat/>
    <w:uiPriority w:val="99"/>
    <w:rPr>
      <w:rFonts w:asciiTheme="minorHAnsi" w:hAnsiTheme="minorHAnsi" w:eastAsiaTheme="minorEastAsia" w:cstheme="minorBidi"/>
      <w:b/>
      <w:bCs/>
      <w:kern w:val="2"/>
      <w:sz w:val="21"/>
      <w:szCs w:val="22"/>
    </w:rPr>
  </w:style>
  <w:style w:type="paragraph" w:customStyle="1" w:styleId="27">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8">
    <w:name w:val="标题 1 字符"/>
    <w:basedOn w:val="14"/>
    <w:link w:val="2"/>
    <w:qFormat/>
    <w:uiPriority w:val="9"/>
    <w:rPr>
      <w:rFonts w:eastAsia="黑体"/>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1144</Words>
  <Characters>6524</Characters>
  <Lines>54</Lines>
  <Paragraphs>15</Paragraphs>
  <TotalTime>82</TotalTime>
  <ScaleCrop>false</ScaleCrop>
  <LinksUpToDate>false</LinksUpToDate>
  <CharactersWithSpaces>7653</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2024-06-06T03:52:00Z</dcterms:created>
  <dc:creator>357517841@qq.com</dc:creator>
  <cp:lastModifiedBy>YLAKuser</cp:lastModifiedBy>
  <cp:lastPrinted>2024-06-20T22:09:00Z</cp:lastPrinted>
  <dcterms:modified xsi:type="dcterms:W3CDTF">2025-04-30T09:27:08Z</dcterms:modified>
  <cp:revision>692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